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NATIONAL INFORMATION ECOSYSTEM AND AI PROGRAMME</w:t>
      </w:r>
    </w:p>
    <w:p>
      <w:pPr>
        <w:pStyle w:val="Title"/>
      </w:pPr>
      <w:r>
        <w:t>Phase 2B Module and Laboratory Production Standard</w:t>
      </w:r>
    </w:p>
    <w:p>
      <w:r>
        <w:rPr>
          <w:rFonts w:ascii="Aptos" w:hAnsi="Aptos"/>
          <w:color w:val="4F4F4F"/>
          <w:sz w:val="23"/>
        </w:rPr>
        <w:t>Rules and templates for producing training materials  |  Version 1.0  |  September 2026</w:t>
      </w:r>
    </w:p>
    <w:p>
      <w:pPr>
        <w:pStyle w:val="Heading2"/>
      </w:pPr>
      <w:r>
        <w:t>Purpose</w:t>
      </w:r>
    </w:p>
    <w:p>
      <w:r>
        <w:t>This standard tells curriculum teams exactly how to build, review, test and release every module and practical laboratory in Phase 2. It converts the curriculum blueprint into repeatable production specifications. A learning product cannot be released merely because its slides or prose are complete; its exercises, evidence, answer logic, safety controls, assessment and facilitator instructions must also pass review.</w:t>
      </w:r>
    </w:p>
    <w:p>
      <w:pPr>
        <w:pStyle w:val="Heading2"/>
      </w:pPr>
      <w:r>
        <w:t>Mandatory production unit</w:t>
      </w:r>
    </w:p>
    <w:p>
      <w:r>
        <w:t>The minimum releasable unit is a complete module package. It contains the learner guide, facilitator guide, practical work, controlled inputs, expected evidence, assessment rubric, answer or decision guide, accessibility materials, version record and technical validation. A presentation alone is not a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7"/>
              </w:rPr>
              <w:t>Decision</w:t>
            </w:r>
          </w:p>
        </w:tc>
        <w:tc>
          <w:tcPr>
            <w:tcW w:type="dxa" w:w="6984"/>
            <w:shd w:fill="17365D"/>
            <w:tcMar>
              <w:top w:w="90" w:type="dxa"/>
              <w:start w:w="90" w:type="dxa"/>
              <w:bottom w:w="90" w:type="dxa"/>
              <w:end w:w="90" w:type="dxa"/>
            </w:tcMar>
            <w:vAlign w:val="center"/>
          </w:tcPr>
          <w:p>
            <w:pPr>
              <w:spacing w:after="0"/>
              <w:jc w:val="center"/>
            </w:pPr>
            <w:r>
              <w:rPr>
                <w:rFonts w:ascii="Aptos" w:hAnsi="Aptos"/>
                <w:b/>
                <w:color w:val="FFFFFF"/>
                <w:sz w:val="17"/>
              </w:rPr>
              <w:t>Standard</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7"/>
              </w:rPr>
              <w:t>Primary organizing principle</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7"/>
              </w:rPr>
              <w:t>Official-statistics work task and competence, not AI tool features.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7"/>
              </w:rPr>
              <w:t>Practice requirement</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7"/>
              </w:rPr>
              <w:t>At least 50 percent of participant time for guided or independent performance.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7"/>
              </w:rPr>
              <w:t>Assessment basis</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7"/>
              </w:rPr>
              <w:t>Observable evidence product scored against explicit criteria.</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7"/>
              </w:rPr>
              <w:t>Safety rule</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7"/>
              </w:rPr>
              <w:t>No confidential or identifiable data unless formally approved and controlled.</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7"/>
              </w:rPr>
              <w:t>Release authority</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7"/>
              </w:rPr>
              <w:t>Content, statistical, technical, safety and learning-design checks completed.</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7"/>
              </w:rPr>
              <w:t>Update rule</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7"/>
              </w:rPr>
              <w:t>Tool changes trigger targeted review; core statistical principles remain stable.</w:t>
            </w:r>
          </w:p>
        </w:tc>
      </w:tr>
    </w:tbl>
    <w:p>
      <w:pPr>
        <w:spacing w:after="20"/>
      </w:pPr>
    </w:p>
    <w:p>
      <w:pPr>
        <w:pStyle w:val="Heading1"/>
      </w:pPr>
      <w:r>
        <w:t>1 Package structure and file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720"/>
            <w:shd w:fill="17365D"/>
            <w:tcMar>
              <w:top w:w="90" w:type="dxa"/>
              <w:start w:w="90" w:type="dxa"/>
              <w:bottom w:w="90" w:type="dxa"/>
              <w:end w:w="90" w:type="dxa"/>
            </w:tcMar>
            <w:vAlign w:val="center"/>
          </w:tcPr>
          <w:p>
            <w:pPr>
              <w:spacing w:after="0"/>
              <w:jc w:val="center"/>
            </w:pPr>
            <w:r>
              <w:rPr>
                <w:rFonts w:ascii="Aptos" w:hAnsi="Aptos"/>
                <w:b/>
                <w:color w:val="FFFFFF"/>
                <w:sz w:val="15"/>
              </w:rPr>
              <w:t>ID</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5"/>
              </w:rPr>
              <w:t>Required component</w:t>
            </w:r>
          </w:p>
        </w:tc>
        <w:tc>
          <w:tcPr>
            <w:tcW w:type="dxa" w:w="2088"/>
            <w:shd w:fill="17365D"/>
            <w:tcMar>
              <w:top w:w="90" w:type="dxa"/>
              <w:start w:w="90" w:type="dxa"/>
              <w:bottom w:w="90" w:type="dxa"/>
              <w:end w:w="90" w:type="dxa"/>
            </w:tcMar>
            <w:vAlign w:val="center"/>
          </w:tcPr>
          <w:p>
            <w:pPr>
              <w:spacing w:after="0"/>
              <w:jc w:val="center"/>
            </w:pPr>
            <w:r>
              <w:rPr>
                <w:rFonts w:ascii="Aptos" w:hAnsi="Aptos"/>
                <w:b/>
                <w:color w:val="FFFFFF"/>
                <w:sz w:val="15"/>
              </w:rPr>
              <w:t>Primary user</w:t>
            </w:r>
          </w:p>
        </w:tc>
        <w:tc>
          <w:tcPr>
            <w:tcW w:type="dxa" w:w="2952"/>
            <w:shd w:fill="17365D"/>
            <w:tcMar>
              <w:top w:w="90" w:type="dxa"/>
              <w:start w:w="90" w:type="dxa"/>
              <w:bottom w:w="90" w:type="dxa"/>
              <w:end w:w="90" w:type="dxa"/>
            </w:tcMar>
            <w:vAlign w:val="center"/>
          </w:tcPr>
          <w:p>
            <w:pPr>
              <w:spacing w:after="0"/>
              <w:jc w:val="center"/>
            </w:pPr>
            <w:r>
              <w:rPr>
                <w:rFonts w:ascii="Aptos" w:hAnsi="Aptos"/>
                <w:b/>
                <w:color w:val="FFFFFF"/>
                <w:sz w:val="15"/>
              </w:rPr>
              <w:t>Minimum content</w:t>
            </w:r>
          </w:p>
        </w:tc>
      </w:tr>
      <w:tr>
        <w:tc>
          <w:tcPr>
            <w:tcW w:type="dxa" w:w="720"/>
            <w:tcMar>
              <w:top w:w="90" w:type="dxa"/>
              <w:start w:w="90" w:type="dxa"/>
              <w:bottom w:w="90" w:type="dxa"/>
              <w:end w:w="90" w:type="dxa"/>
            </w:tcMar>
            <w:vAlign w:val="center"/>
          </w:tcPr>
          <w:p>
            <w:pPr>
              <w:spacing w:after="0" w:line="240" w:lineRule="auto"/>
            </w:pPr>
            <w:r>
              <w:rPr>
                <w:rFonts w:ascii="Aptos" w:hAnsi="Aptos"/>
                <w:color w:val="000000"/>
                <w:sz w:val="15"/>
              </w:rPr>
              <w:t>M01</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Module specification</w:t>
            </w:r>
          </w:p>
        </w:tc>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Design and review team</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Purpose, audience, prerequisites, competencies, level, duration and dependencies.</w:t>
            </w:r>
          </w:p>
        </w:tc>
      </w:tr>
      <w:tr>
        <w:tc>
          <w:tcPr>
            <w:tcW w:type="dxa" w:w="720"/>
            <w:tcMar>
              <w:top w:w="90" w:type="dxa"/>
              <w:start w:w="90" w:type="dxa"/>
              <w:bottom w:w="90" w:type="dxa"/>
              <w:end w:w="90" w:type="dxa"/>
            </w:tcMar>
            <w:vAlign w:val="center"/>
            <w:shd w:fill="F3F6F9"/>
          </w:tcPr>
          <w:p>
            <w:pPr>
              <w:spacing w:after="0" w:line="240" w:lineRule="auto"/>
            </w:pPr>
            <w:r>
              <w:rPr>
                <w:rFonts w:ascii="Aptos" w:hAnsi="Aptos"/>
                <w:color w:val="000000"/>
                <w:sz w:val="15"/>
              </w:rPr>
              <w:t>M02</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Learner guide</w:t>
            </w:r>
          </w:p>
        </w:tc>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Participant</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Concepts, workflow, examples, instructions, checks and references.</w:t>
            </w:r>
          </w:p>
        </w:tc>
      </w:tr>
      <w:tr>
        <w:tc>
          <w:tcPr>
            <w:tcW w:type="dxa" w:w="720"/>
            <w:tcMar>
              <w:top w:w="90" w:type="dxa"/>
              <w:start w:w="90" w:type="dxa"/>
              <w:bottom w:w="90" w:type="dxa"/>
              <w:end w:w="90" w:type="dxa"/>
            </w:tcMar>
            <w:vAlign w:val="center"/>
          </w:tcPr>
          <w:p>
            <w:pPr>
              <w:spacing w:after="0" w:line="240" w:lineRule="auto"/>
            </w:pPr>
            <w:r>
              <w:rPr>
                <w:rFonts w:ascii="Aptos" w:hAnsi="Aptos"/>
                <w:color w:val="000000"/>
                <w:sz w:val="15"/>
              </w:rPr>
              <w:t>M03</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Facilitator guide</w:t>
            </w:r>
          </w:p>
        </w:tc>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Trainer</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Timings, questions, demonstrations, likely errors, debrief and adaptations.</w:t>
            </w:r>
          </w:p>
        </w:tc>
      </w:tr>
      <w:tr>
        <w:tc>
          <w:tcPr>
            <w:tcW w:type="dxa" w:w="720"/>
            <w:tcMar>
              <w:top w:w="90" w:type="dxa"/>
              <w:start w:w="90" w:type="dxa"/>
              <w:bottom w:w="90" w:type="dxa"/>
              <w:end w:w="90" w:type="dxa"/>
            </w:tcMar>
            <w:vAlign w:val="center"/>
            <w:shd w:fill="F3F6F9"/>
          </w:tcPr>
          <w:p>
            <w:pPr>
              <w:spacing w:after="0" w:line="240" w:lineRule="auto"/>
            </w:pPr>
            <w:r>
              <w:rPr>
                <w:rFonts w:ascii="Aptos" w:hAnsi="Aptos"/>
                <w:color w:val="000000"/>
                <w:sz w:val="15"/>
              </w:rPr>
              <w:t>M04</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Presentation or visual aid</w:t>
            </w:r>
          </w:p>
        </w:tc>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Trainer and participant</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Only essential visuals; not a substitute for the guides.</w:t>
            </w:r>
          </w:p>
        </w:tc>
      </w:tr>
      <w:tr>
        <w:tc>
          <w:tcPr>
            <w:tcW w:type="dxa" w:w="720"/>
            <w:tcMar>
              <w:top w:w="90" w:type="dxa"/>
              <w:start w:w="90" w:type="dxa"/>
              <w:bottom w:w="90" w:type="dxa"/>
              <w:end w:w="90" w:type="dxa"/>
            </w:tcMar>
            <w:vAlign w:val="center"/>
          </w:tcPr>
          <w:p>
            <w:pPr>
              <w:spacing w:after="0" w:line="240" w:lineRule="auto"/>
            </w:pPr>
            <w:r>
              <w:rPr>
                <w:rFonts w:ascii="Aptos" w:hAnsi="Aptos"/>
                <w:color w:val="000000"/>
                <w:sz w:val="15"/>
              </w:rPr>
              <w:t>M05</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Practice pack</w:t>
            </w:r>
          </w:p>
        </w:tc>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Participant</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Task brief, source material, constraints, templates and submission instructions.</w:t>
            </w:r>
          </w:p>
        </w:tc>
      </w:tr>
      <w:tr>
        <w:tc>
          <w:tcPr>
            <w:tcW w:type="dxa" w:w="720"/>
            <w:tcMar>
              <w:top w:w="90" w:type="dxa"/>
              <w:start w:w="90" w:type="dxa"/>
              <w:bottom w:w="90" w:type="dxa"/>
              <w:end w:w="90" w:type="dxa"/>
            </w:tcMar>
            <w:vAlign w:val="center"/>
            <w:shd w:fill="F3F6F9"/>
          </w:tcPr>
          <w:p>
            <w:pPr>
              <w:spacing w:after="0" w:line="240" w:lineRule="auto"/>
            </w:pPr>
            <w:r>
              <w:rPr>
                <w:rFonts w:ascii="Aptos" w:hAnsi="Aptos"/>
                <w:color w:val="000000"/>
                <w:sz w:val="15"/>
              </w:rPr>
              <w:t>M06</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Controlled inputs</w:t>
            </w:r>
          </w:p>
        </w:tc>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Participant</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Synthetic, public, de-identified or approved data and metadata.</w:t>
            </w:r>
          </w:p>
        </w:tc>
      </w:tr>
      <w:tr>
        <w:tc>
          <w:tcPr>
            <w:tcW w:type="dxa" w:w="720"/>
            <w:tcMar>
              <w:top w:w="90" w:type="dxa"/>
              <w:start w:w="90" w:type="dxa"/>
              <w:bottom w:w="90" w:type="dxa"/>
              <w:end w:w="90" w:type="dxa"/>
            </w:tcMar>
            <w:vAlign w:val="center"/>
          </w:tcPr>
          <w:p>
            <w:pPr>
              <w:spacing w:after="0" w:line="240" w:lineRule="auto"/>
            </w:pPr>
            <w:r>
              <w:rPr>
                <w:rFonts w:ascii="Aptos" w:hAnsi="Aptos"/>
                <w:color w:val="000000"/>
                <w:sz w:val="15"/>
              </w:rPr>
              <w:t>M07</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Answer and decision guide</w:t>
            </w:r>
          </w:p>
        </w:tc>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Facilitator and assessor</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Expected reasoning, acceptable variants, failure indicators and evidence.</w:t>
            </w:r>
          </w:p>
        </w:tc>
      </w:tr>
      <w:tr>
        <w:tc>
          <w:tcPr>
            <w:tcW w:type="dxa" w:w="720"/>
            <w:tcMar>
              <w:top w:w="90" w:type="dxa"/>
              <w:start w:w="90" w:type="dxa"/>
              <w:bottom w:w="90" w:type="dxa"/>
              <w:end w:w="90" w:type="dxa"/>
            </w:tcMar>
            <w:vAlign w:val="center"/>
            <w:shd w:fill="F3F6F9"/>
          </w:tcPr>
          <w:p>
            <w:pPr>
              <w:spacing w:after="0" w:line="240" w:lineRule="auto"/>
            </w:pPr>
            <w:r>
              <w:rPr>
                <w:rFonts w:ascii="Aptos" w:hAnsi="Aptos"/>
                <w:color w:val="000000"/>
                <w:sz w:val="15"/>
              </w:rPr>
              <w:t>M08</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Assessment pack</w:t>
            </w:r>
          </w:p>
        </w:tc>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Assessor</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Rubric, scoring sheet, critical failures and reassessment route.</w:t>
            </w:r>
          </w:p>
        </w:tc>
      </w:tr>
      <w:tr>
        <w:tc>
          <w:tcPr>
            <w:tcW w:type="dxa" w:w="720"/>
            <w:tcMar>
              <w:top w:w="90" w:type="dxa"/>
              <w:start w:w="90" w:type="dxa"/>
              <w:bottom w:w="90" w:type="dxa"/>
              <w:end w:w="90" w:type="dxa"/>
            </w:tcMar>
            <w:vAlign w:val="center"/>
          </w:tcPr>
          <w:p>
            <w:pPr>
              <w:spacing w:after="0" w:line="240" w:lineRule="auto"/>
            </w:pPr>
            <w:r>
              <w:rPr>
                <w:rFonts w:ascii="Aptos" w:hAnsi="Aptos"/>
                <w:color w:val="000000"/>
                <w:sz w:val="15"/>
              </w:rPr>
              <w:t>M09</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Technical validation record</w:t>
            </w:r>
          </w:p>
        </w:tc>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Reviewer</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Reproduction of code, calculations, outputs and answer logic.</w:t>
            </w:r>
          </w:p>
        </w:tc>
      </w:tr>
      <w:tr>
        <w:tc>
          <w:tcPr>
            <w:tcW w:type="dxa" w:w="720"/>
            <w:tcMar>
              <w:top w:w="90" w:type="dxa"/>
              <w:start w:w="90" w:type="dxa"/>
              <w:bottom w:w="90" w:type="dxa"/>
              <w:end w:w="90" w:type="dxa"/>
            </w:tcMar>
            <w:vAlign w:val="center"/>
            <w:shd w:fill="F3F6F9"/>
          </w:tcPr>
          <w:p>
            <w:pPr>
              <w:spacing w:after="0" w:line="240" w:lineRule="auto"/>
            </w:pPr>
            <w:r>
              <w:rPr>
                <w:rFonts w:ascii="Aptos" w:hAnsi="Aptos"/>
                <w:color w:val="000000"/>
                <w:sz w:val="15"/>
              </w:rPr>
              <w:t>M10</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Release and version record</w:t>
            </w:r>
          </w:p>
        </w:tc>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Product owner</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Approvals, changes, dependencies, expiry and next review.</w:t>
            </w:r>
          </w:p>
        </w:tc>
      </w:tr>
    </w:tbl>
    <w:p>
      <w:pPr>
        <w:spacing w:after="20"/>
      </w:pPr>
    </w:p>
    <w:p>
      <w:pPr>
        <w:pStyle w:val="Heading2"/>
      </w:pPr>
      <w:r>
        <w:t>File naming</w:t>
      </w:r>
    </w:p>
    <w:p>
      <w:r>
        <w:t>Use: P2_[Block][Module]_[Component]_[Language]_[Version]_[Date]. Example: P2_B3_PracticePack_EN_v1-0_2026-09. Dataset and code files use the same module stem. Draft status belongs in metadata, not in ambiguous filenames such as final2 or latest.</w:t>
      </w:r>
    </w:p>
    <w:p>
      <w:pPr>
        <w:pStyle w:val="Heading1"/>
      </w:pPr>
      <w:r>
        <w:t>2 Module specification template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6"/>
              </w:rPr>
              <w:t>Field</w:t>
            </w:r>
          </w:p>
        </w:tc>
        <w:tc>
          <w:tcPr>
            <w:tcW w:type="dxa" w:w="6984"/>
            <w:shd w:fill="17365D"/>
            <w:tcMar>
              <w:top w:w="90" w:type="dxa"/>
              <w:start w:w="90" w:type="dxa"/>
              <w:bottom w:w="90" w:type="dxa"/>
              <w:end w:w="90" w:type="dxa"/>
            </w:tcMar>
            <w:vAlign w:val="center"/>
          </w:tcPr>
          <w:p>
            <w:pPr>
              <w:spacing w:after="0"/>
              <w:jc w:val="center"/>
            </w:pPr>
            <w:r>
              <w:rPr>
                <w:rFonts w:ascii="Aptos" w:hAnsi="Aptos"/>
                <w:b/>
                <w:color w:val="FFFFFF"/>
                <w:sz w:val="16"/>
              </w:rPr>
              <w:t>Required entry</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Module ID and title</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Stable ID; plain title describing the professional capability.</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Owner and reviewers</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Named content owner plus statistical, technical, safety and learning reviewers.</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Target roles</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One or more Phase 2A role families.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Competencies and levels</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C1–C8 and entry or exit level for each.</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Prerequisites</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Knowledge, permissions, software, data and preceding modules.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Workplace task</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The real statistical task to which learning transfers.</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Learning outcomes</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Three to six observable performances using assessable verbs.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Evidence products</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Files, decisions, logs or explanations the learner must produce.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Duration</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Instruction, demonstration, guided practice, independent work and assessment separately.</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Critical safeguards</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Applicable gates, prohibited actions and escalation routes.</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Localization fields</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Law, institution, classification, language and tool elements that may change.</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Acceptance criteria</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Content, technical, safety, accessibility and pilot-test thresholds.</w:t>
            </w:r>
          </w:p>
        </w:tc>
      </w:tr>
    </w:tbl>
    <w:p>
      <w:pPr>
        <w:spacing w:after="20"/>
      </w:pPr>
    </w:p>
    <w:p>
      <w:pPr>
        <w:pStyle w:val="Heading2"/>
      </w:pPr>
      <w:r>
        <w:t>Learning outcome formula</w:t>
      </w:r>
    </w:p>
    <w:p>
      <w:r>
        <w:t>By the end of the module, the participant can [perform an observable action] on [a statistical object or process], under [specified conditions], producing [required evidence], to [quality or decision standard].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3240"/>
            <w:shd w:fill="17365D"/>
            <w:tcMar>
              <w:top w:w="90" w:type="dxa"/>
              <w:start w:w="90" w:type="dxa"/>
              <w:bottom w:w="90" w:type="dxa"/>
              <w:end w:w="90" w:type="dxa"/>
            </w:tcMar>
            <w:vAlign w:val="center"/>
          </w:tcPr>
          <w:p>
            <w:pPr>
              <w:spacing w:after="0"/>
              <w:jc w:val="center"/>
            </w:pPr>
            <w:r>
              <w:rPr>
                <w:rFonts w:ascii="Aptos" w:hAnsi="Aptos"/>
                <w:b/>
                <w:color w:val="FFFFFF"/>
                <w:sz w:val="16"/>
              </w:rPr>
              <w:t>Weak outcome</w:t>
            </w:r>
          </w:p>
        </w:tc>
        <w:tc>
          <w:tcPr>
            <w:tcW w:type="dxa" w:w="6624"/>
            <w:shd w:fill="17365D"/>
            <w:tcMar>
              <w:top w:w="90" w:type="dxa"/>
              <w:start w:w="90" w:type="dxa"/>
              <w:bottom w:w="90" w:type="dxa"/>
              <w:end w:w="90" w:type="dxa"/>
            </w:tcMar>
            <w:vAlign w:val="center"/>
          </w:tcPr>
          <w:p>
            <w:pPr>
              <w:spacing w:after="0"/>
              <w:jc w:val="center"/>
            </w:pPr>
            <w:r>
              <w:rPr>
                <w:rFonts w:ascii="Aptos" w:hAnsi="Aptos"/>
                <w:b/>
                <w:color w:val="FFFFFF"/>
                <w:sz w:val="16"/>
              </w:rPr>
              <w:t>Acceptable outcome</w:t>
            </w:r>
          </w:p>
        </w:tc>
      </w:tr>
      <w:tr>
        <w:tc>
          <w:tcPr>
            <w:tcW w:type="dxa" w:w="3240"/>
            <w:tcMar>
              <w:top w:w="90" w:type="dxa"/>
              <w:start w:w="90" w:type="dxa"/>
              <w:bottom w:w="90" w:type="dxa"/>
              <w:end w:w="90" w:type="dxa"/>
            </w:tcMar>
            <w:vAlign w:val="center"/>
          </w:tcPr>
          <w:p>
            <w:pPr>
              <w:spacing w:after="0" w:line="240" w:lineRule="auto"/>
            </w:pPr>
            <w:r>
              <w:rPr>
                <w:rFonts w:ascii="Aptos" w:hAnsi="Aptos"/>
                <w:color w:val="000000"/>
                <w:sz w:val="16"/>
              </w:rPr>
              <w:t>Understand hallucination</w:t>
            </w:r>
          </w:p>
        </w:tc>
        <w:tc>
          <w:tcPr>
            <w:tcW w:type="dxa" w:w="6624"/>
            <w:tcMar>
              <w:top w:w="90" w:type="dxa"/>
              <w:start w:w="90" w:type="dxa"/>
              <w:bottom w:w="90" w:type="dxa"/>
              <w:end w:w="90" w:type="dxa"/>
            </w:tcMar>
            <w:vAlign w:val="center"/>
          </w:tcPr>
          <w:p>
            <w:pPr>
              <w:spacing w:after="0" w:line="240" w:lineRule="auto"/>
            </w:pPr>
            <w:r>
              <w:rPr>
                <w:rFonts w:ascii="Aptos" w:hAnsi="Aptos"/>
                <w:color w:val="000000"/>
                <w:sz w:val="16"/>
              </w:rPr>
              <w:t>Given a draft statistical summary and its sources, identify unsupported claims, correct them and submit a claim ledger with residual uncertainty.</w:t>
            </w:r>
          </w:p>
        </w:tc>
      </w:tr>
      <w:tr>
        <w:tc>
          <w:tcPr>
            <w:tcW w:type="dxa" w:w="3240"/>
            <w:tcMar>
              <w:top w:w="90" w:type="dxa"/>
              <w:start w:w="90" w:type="dxa"/>
              <w:bottom w:w="90" w:type="dxa"/>
              <w:end w:w="90" w:type="dxa"/>
            </w:tcMar>
            <w:vAlign w:val="center"/>
            <w:shd w:fill="F3F6F9"/>
          </w:tcPr>
          <w:p>
            <w:pPr>
              <w:spacing w:after="0" w:line="240" w:lineRule="auto"/>
            </w:pPr>
            <w:r>
              <w:rPr>
                <w:rFonts w:ascii="Aptos" w:hAnsi="Aptos"/>
                <w:color w:val="000000"/>
                <w:sz w:val="16"/>
              </w:rPr>
              <w:t>Learn prompting</w:t>
            </w:r>
          </w:p>
        </w:tc>
        <w:tc>
          <w:tcPr>
            <w:tcW w:type="dxa" w:w="6624"/>
            <w:tcMar>
              <w:top w:w="90" w:type="dxa"/>
              <w:start w:w="90" w:type="dxa"/>
              <w:bottom w:w="90" w:type="dxa"/>
              <w:end w:w="90" w:type="dxa"/>
            </w:tcMar>
            <w:vAlign w:val="center"/>
            <w:shd w:fill="F3F6F9"/>
          </w:tcPr>
          <w:p>
            <w:pPr>
              <w:spacing w:after="0" w:line="240" w:lineRule="auto"/>
            </w:pPr>
            <w:r>
              <w:rPr>
                <w:rFonts w:ascii="Aptos" w:hAnsi="Aptos"/>
                <w:color w:val="000000"/>
                <w:sz w:val="16"/>
              </w:rPr>
              <w:t>Design and test a reusable instruction for coding survey responses, document its boundary and compare it with an approved benchmark.</w:t>
            </w:r>
          </w:p>
        </w:tc>
      </w:tr>
      <w:tr>
        <w:tc>
          <w:tcPr>
            <w:tcW w:type="dxa" w:w="3240"/>
            <w:tcMar>
              <w:top w:w="90" w:type="dxa"/>
              <w:start w:w="90" w:type="dxa"/>
              <w:bottom w:w="90" w:type="dxa"/>
              <w:end w:w="90" w:type="dxa"/>
            </w:tcMar>
            <w:vAlign w:val="center"/>
          </w:tcPr>
          <w:p>
            <w:pPr>
              <w:spacing w:after="0" w:line="240" w:lineRule="auto"/>
            </w:pPr>
            <w:r>
              <w:rPr>
                <w:rFonts w:ascii="Aptos" w:hAnsi="Aptos"/>
                <w:color w:val="000000"/>
                <w:sz w:val="16"/>
              </w:rPr>
              <w:t>Know data quality</w:t>
            </w:r>
          </w:p>
        </w:tc>
        <w:tc>
          <w:tcPr>
            <w:tcW w:type="dxa" w:w="6624"/>
            <w:tcMar>
              <w:top w:w="90" w:type="dxa"/>
              <w:start w:w="90" w:type="dxa"/>
              <w:bottom w:w="90" w:type="dxa"/>
              <w:end w:w="90" w:type="dxa"/>
            </w:tcMar>
            <w:vAlign w:val="center"/>
          </w:tcPr>
          <w:p>
            <w:pPr>
              <w:spacing w:after="0" w:line="240" w:lineRule="auto"/>
            </w:pPr>
            <w:r>
              <w:rPr>
                <w:rFonts w:ascii="Aptos" w:hAnsi="Aptos"/>
                <w:color w:val="000000"/>
                <w:sz w:val="16"/>
              </w:rPr>
              <w:t>Assess an administrative source against the intended indicator and issue a justified fit, conditionally fit or not fit decision.</w:t>
            </w:r>
          </w:p>
        </w:tc>
      </w:tr>
    </w:tbl>
    <w:p>
      <w:pPr>
        <w:spacing w:after="20"/>
      </w:pPr>
    </w:p>
    <w:p>
      <w:pPr>
        <w:pStyle w:val="Heading1"/>
      </w:pPr>
      <w:r>
        <w:t>3 Standard module learning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5"/>
              </w:rPr>
              <w:t>Step</w:t>
            </w:r>
          </w:p>
        </w:tc>
        <w:tc>
          <w:tcPr>
            <w:tcW w:type="dxa" w:w="3672"/>
            <w:shd w:fill="17365D"/>
            <w:tcMar>
              <w:top w:w="90" w:type="dxa"/>
              <w:start w:w="90" w:type="dxa"/>
              <w:bottom w:w="90" w:type="dxa"/>
              <w:end w:w="90" w:type="dxa"/>
            </w:tcMar>
            <w:vAlign w:val="center"/>
          </w:tcPr>
          <w:p>
            <w:pPr>
              <w:spacing w:after="0"/>
              <w:jc w:val="center"/>
            </w:pPr>
            <w:r>
              <w:rPr>
                <w:rFonts w:ascii="Aptos" w:hAnsi="Aptos"/>
                <w:b/>
                <w:color w:val="FFFFFF"/>
                <w:sz w:val="15"/>
              </w:rPr>
              <w:t>Participant action</w:t>
            </w:r>
          </w:p>
        </w:tc>
        <w:tc>
          <w:tcPr>
            <w:tcW w:type="dxa" w:w="3024"/>
            <w:shd w:fill="17365D"/>
            <w:tcMar>
              <w:top w:w="90" w:type="dxa"/>
              <w:start w:w="90" w:type="dxa"/>
              <w:bottom w:w="90" w:type="dxa"/>
              <w:end w:w="90" w:type="dxa"/>
            </w:tcMar>
            <w:vAlign w:val="center"/>
          </w:tcPr>
          <w:p>
            <w:pPr>
              <w:spacing w:after="0"/>
              <w:jc w:val="center"/>
            </w:pPr>
            <w:r>
              <w:rPr>
                <w:rFonts w:ascii="Aptos" w:hAnsi="Aptos"/>
                <w:b/>
                <w:color w:val="FFFFFF"/>
                <w:sz w:val="15"/>
              </w:rPr>
              <w:t>Required evidence</w:t>
            </w:r>
          </w:p>
        </w:tc>
        <w:tc>
          <w:tcPr>
            <w:tcW w:type="dxa" w:w="1440"/>
            <w:shd w:fill="17365D"/>
            <w:tcMar>
              <w:top w:w="90" w:type="dxa"/>
              <w:start w:w="90" w:type="dxa"/>
              <w:bottom w:w="90" w:type="dxa"/>
              <w:end w:w="90" w:type="dxa"/>
            </w:tcMar>
            <w:vAlign w:val="center"/>
          </w:tcPr>
          <w:p>
            <w:pPr>
              <w:spacing w:after="0"/>
              <w:jc w:val="center"/>
            </w:pPr>
            <w:r>
              <w:rPr>
                <w:rFonts w:ascii="Aptos" w:hAnsi="Aptos"/>
                <w:b/>
                <w:color w:val="FFFFFF"/>
                <w:sz w:val="15"/>
              </w:rPr>
              <w:t>Typical time</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5"/>
              </w:rPr>
              <w:t>1 Baseline challenge</w:t>
            </w:r>
          </w:p>
        </w:tc>
        <w:tc>
          <w:tcPr>
            <w:tcW w:type="dxa" w:w="3672"/>
            <w:tcMar>
              <w:top w:w="90" w:type="dxa"/>
              <w:start w:w="90" w:type="dxa"/>
              <w:bottom w:w="90" w:type="dxa"/>
              <w:end w:w="90" w:type="dxa"/>
            </w:tcMar>
            <w:vAlign w:val="center"/>
          </w:tcPr>
          <w:p>
            <w:pPr>
              <w:spacing w:after="0" w:line="240" w:lineRule="auto"/>
            </w:pPr>
            <w:r>
              <w:rPr>
                <w:rFonts w:ascii="Aptos" w:hAnsi="Aptos"/>
                <w:color w:val="000000"/>
                <w:sz w:val="15"/>
              </w:rPr>
              <w:t>Attempts a short authentic task before instruction.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Initial output and confidence statement.</w:t>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t>10–20 min</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5"/>
              </w:rPr>
              <w:t>2 Concept clinic</w:t>
            </w:r>
          </w:p>
        </w:tc>
        <w:tc>
          <w:tcPr>
            <w:tcW w:type="dxa" w:w="3672"/>
            <w:tcMar>
              <w:top w:w="90" w:type="dxa"/>
              <w:start w:w="90" w:type="dxa"/>
              <w:bottom w:w="90" w:type="dxa"/>
              <w:end w:w="90" w:type="dxa"/>
            </w:tcMar>
            <w:vAlign w:val="center"/>
            <w:shd w:fill="F3F6F9"/>
          </w:tcPr>
          <w:p>
            <w:pPr>
              <w:spacing w:after="0" w:line="240" w:lineRule="auto"/>
            </w:pPr>
            <w:r>
              <w:rPr>
                <w:rFonts w:ascii="Aptos" w:hAnsi="Aptos"/>
                <w:color w:val="000000"/>
                <w:sz w:val="15"/>
              </w:rPr>
              <w:t>Learns the minimum concepts needed to improve the task.</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Responses to diagnostic questions.</w:t>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t>15–30 min</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5"/>
              </w:rPr>
              <w:t>3 Expert demonstration</w:t>
            </w:r>
          </w:p>
        </w:tc>
        <w:tc>
          <w:tcPr>
            <w:tcW w:type="dxa" w:w="3672"/>
            <w:tcMar>
              <w:top w:w="90" w:type="dxa"/>
              <w:start w:w="90" w:type="dxa"/>
              <w:bottom w:w="90" w:type="dxa"/>
              <w:end w:w="90" w:type="dxa"/>
            </w:tcMar>
            <w:vAlign w:val="center"/>
          </w:tcPr>
          <w:p>
            <w:pPr>
              <w:spacing w:after="0" w:line="240" w:lineRule="auto"/>
            </w:pPr>
            <w:r>
              <w:rPr>
                <w:rFonts w:ascii="Aptos" w:hAnsi="Aptos"/>
                <w:color w:val="000000"/>
                <w:sz w:val="15"/>
              </w:rPr>
              <w:t>Observes a complete workflow including verification and correction.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Annotated observation checklist.</w:t>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t>15–30 min</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5"/>
              </w:rPr>
              <w:t>4 Guided practice</w:t>
            </w:r>
          </w:p>
        </w:tc>
        <w:tc>
          <w:tcPr>
            <w:tcW w:type="dxa" w:w="3672"/>
            <w:tcMar>
              <w:top w:w="90" w:type="dxa"/>
              <w:start w:w="90" w:type="dxa"/>
              <w:bottom w:w="90" w:type="dxa"/>
              <w:end w:w="90" w:type="dxa"/>
            </w:tcMar>
            <w:vAlign w:val="center"/>
            <w:shd w:fill="F3F6F9"/>
          </w:tcPr>
          <w:p>
            <w:pPr>
              <w:spacing w:after="0" w:line="240" w:lineRule="auto"/>
            </w:pPr>
            <w:r>
              <w:rPr>
                <w:rFonts w:ascii="Aptos" w:hAnsi="Aptos"/>
                <w:color w:val="000000"/>
                <w:sz w:val="15"/>
              </w:rPr>
              <w:t>Performs the workflow with checkpoints.</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Draft product and verification log.</w:t>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t>30–60 min</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5"/>
              </w:rPr>
              <w:t>5 Challenge variation</w:t>
            </w:r>
          </w:p>
        </w:tc>
        <w:tc>
          <w:tcPr>
            <w:tcW w:type="dxa" w:w="3672"/>
            <w:tcMar>
              <w:top w:w="90" w:type="dxa"/>
              <w:start w:w="90" w:type="dxa"/>
              <w:bottom w:w="90" w:type="dxa"/>
              <w:end w:w="90" w:type="dxa"/>
            </w:tcMar>
            <w:vAlign w:val="center"/>
          </w:tcPr>
          <w:p>
            <w:pPr>
              <w:spacing w:after="0" w:line="240" w:lineRule="auto"/>
            </w:pPr>
            <w:r>
              <w:rPr>
                <w:rFonts w:ascii="Aptos" w:hAnsi="Aptos"/>
                <w:color w:val="000000"/>
                <w:sz w:val="15"/>
              </w:rPr>
              <w:t>Handles imperfect evidence, edge case or changed condition.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Revised decision and justification.</w:t>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t>20–45 min</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5"/>
              </w:rPr>
              <w:t>6 Independent performance</w:t>
            </w:r>
          </w:p>
        </w:tc>
        <w:tc>
          <w:tcPr>
            <w:tcW w:type="dxa" w:w="3672"/>
            <w:tcMar>
              <w:top w:w="90" w:type="dxa"/>
              <w:start w:w="90" w:type="dxa"/>
              <w:bottom w:w="90" w:type="dxa"/>
              <w:end w:w="90" w:type="dxa"/>
            </w:tcMar>
            <w:vAlign w:val="center"/>
            <w:shd w:fill="F3F6F9"/>
          </w:tcPr>
          <w:p>
            <w:pPr>
              <w:spacing w:after="0" w:line="240" w:lineRule="auto"/>
            </w:pPr>
            <w:r>
              <w:rPr>
                <w:rFonts w:ascii="Aptos" w:hAnsi="Aptos"/>
                <w:color w:val="000000"/>
                <w:sz w:val="15"/>
              </w:rPr>
              <w:t>Completes the target task without procedural prompting.</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Assessable evidence product.</w:t>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t>30–90 min</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5"/>
              </w:rPr>
              <w:t>7 Debrief and transfer</w:t>
            </w:r>
          </w:p>
        </w:tc>
        <w:tc>
          <w:tcPr>
            <w:tcW w:type="dxa" w:w="3672"/>
            <w:tcMar>
              <w:top w:w="90" w:type="dxa"/>
              <w:start w:w="90" w:type="dxa"/>
              <w:bottom w:w="90" w:type="dxa"/>
              <w:end w:w="90" w:type="dxa"/>
            </w:tcMar>
            <w:vAlign w:val="center"/>
          </w:tcPr>
          <w:p>
            <w:pPr>
              <w:spacing w:after="0" w:line="240" w:lineRule="auto"/>
            </w:pPr>
            <w:r>
              <w:rPr>
                <w:rFonts w:ascii="Aptos" w:hAnsi="Aptos"/>
                <w:color w:val="000000"/>
                <w:sz w:val="15"/>
              </w:rPr>
              <w:t>Explains errors, limits, workplace application and escalation.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Transfer plan and personal checklist.</w:t>
            </w:r>
          </w:p>
        </w:tc>
        <w:tc>
          <w:tcPr>
            <w:tcW w:type="dxa" w:w="1440"/>
            <w:tcMar>
              <w:top w:w="90" w:type="dxa"/>
              <w:start w:w="90" w:type="dxa"/>
              <w:bottom w:w="90" w:type="dxa"/>
              <w:end w:w="90" w:type="dxa"/>
            </w:tcMar>
            <w:vAlign w:val="center"/>
          </w:tcPr>
          <w:p>
            <w:pPr>
              <w:spacing w:after="0" w:line="240" w:lineRule="auto"/>
            </w:pPr>
            <w:r>
              <w:rPr>
                <w:rFonts w:ascii="Aptos" w:hAnsi="Aptos"/>
                <w:color w:val="000000"/>
                <w:sz w:val="15"/>
              </w:rPr>
              <w:t>15–30 min</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5"/>
              </w:rPr>
              <w:t>8 Follow-up</w:t>
            </w:r>
          </w:p>
        </w:tc>
        <w:tc>
          <w:tcPr>
            <w:tcW w:type="dxa" w:w="3672"/>
            <w:tcMar>
              <w:top w:w="90" w:type="dxa"/>
              <w:start w:w="90" w:type="dxa"/>
              <w:bottom w:w="90" w:type="dxa"/>
              <w:end w:w="90" w:type="dxa"/>
            </w:tcMar>
            <w:vAlign w:val="center"/>
            <w:shd w:fill="F3F6F9"/>
          </w:tcPr>
          <w:p>
            <w:pPr>
              <w:spacing w:after="0" w:line="240" w:lineRule="auto"/>
            </w:pPr>
            <w:r>
              <w:rPr>
                <w:rFonts w:ascii="Aptos" w:hAnsi="Aptos"/>
                <w:color w:val="000000"/>
                <w:sz w:val="15"/>
              </w:rPr>
              <w:t>Applies the method to approved work after training.</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Supervisor-reviewed evidence at 30 days.</w:t>
            </w:r>
          </w:p>
        </w:tc>
        <w:tc>
          <w:tcPr>
            <w:tcW w:type="dxa" w:w="1440"/>
            <w:tcMar>
              <w:top w:w="90" w:type="dxa"/>
              <w:start w:w="90" w:type="dxa"/>
              <w:bottom w:w="90" w:type="dxa"/>
              <w:end w:w="90" w:type="dxa"/>
            </w:tcMar>
            <w:vAlign w:val="center"/>
            <w:shd w:fill="F3F6F9"/>
          </w:tcPr>
          <w:p>
            <w:pPr>
              <w:spacing w:after="0" w:line="240" w:lineRule="auto"/>
            </w:pPr>
            <w:r>
              <w:rPr>
                <w:rFonts w:ascii="Aptos" w:hAnsi="Aptos"/>
                <w:color w:val="000000"/>
                <w:sz w:val="15"/>
              </w:rPr>
              <w:t>Workplace based</w:t>
            </w:r>
          </w:p>
        </w:tc>
      </w:tr>
    </w:tbl>
    <w:p>
      <w:pPr>
        <w:spacing w:after="20"/>
      </w:pPr>
    </w:p>
    <w:p>
      <w:pPr>
        <w:pStyle w:val="Heading2"/>
      </w:pPr>
      <w:r>
        <w:t>Time allocation test</w:t>
      </w:r>
    </w:p>
    <w:p>
      <w:r>
        <w:t>A module fails design review if explanation and demonstration consume more time than participant performance without a documented reason. As a default, at least half of structured time is practice, assessment or debrief of performed work.</w:t>
      </w:r>
    </w:p>
    <w:p>
      <w:pPr>
        <w:pStyle w:val="Heading1"/>
      </w:pPr>
      <w:r>
        <w:t>4 Learner guide standard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592"/>
            <w:shd w:fill="17365D"/>
            <w:tcMar>
              <w:top w:w="90" w:type="dxa"/>
              <w:start w:w="90" w:type="dxa"/>
              <w:bottom w:w="90" w:type="dxa"/>
              <w:end w:w="90" w:type="dxa"/>
            </w:tcMar>
            <w:vAlign w:val="center"/>
          </w:tcPr>
          <w:p>
            <w:pPr>
              <w:spacing w:after="0"/>
              <w:jc w:val="center"/>
            </w:pPr>
            <w:r>
              <w:rPr>
                <w:rFonts w:ascii="Aptos" w:hAnsi="Aptos"/>
                <w:b/>
                <w:color w:val="FFFFFF"/>
                <w:sz w:val="16"/>
              </w:rPr>
              <w:t>Section</w:t>
            </w:r>
          </w:p>
        </w:tc>
        <w:tc>
          <w:tcPr>
            <w:tcW w:type="dxa" w:w="7272"/>
            <w:shd w:fill="17365D"/>
            <w:tcMar>
              <w:top w:w="90" w:type="dxa"/>
              <w:start w:w="90" w:type="dxa"/>
              <w:bottom w:w="90" w:type="dxa"/>
              <w:end w:w="90" w:type="dxa"/>
            </w:tcMar>
            <w:vAlign w:val="center"/>
          </w:tcPr>
          <w:p>
            <w:pPr>
              <w:spacing w:after="0"/>
              <w:jc w:val="center"/>
            </w:pPr>
            <w:r>
              <w:rPr>
                <w:rFonts w:ascii="Aptos" w:hAnsi="Aptos"/>
                <w:b/>
                <w:color w:val="FFFFFF"/>
                <w:sz w:val="16"/>
              </w:rPr>
              <w:t>What it must do</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Why this matters</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State the official-statistics task, users, consequences and expected improvement.</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What competent work looks like</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Show the evidence product and the quality, governance and reproducibility standard.</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Concepts needed</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Explain only concepts required for the task; distinguish facts, rules and judgement.</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Procedure</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Provide steps, decision points, checks, stop conditions and escalation.</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Worked example</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Show inputs, reasoning, intermediate checks, corrections and final evidence.</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Practice instructions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State task, data, boundary, permitted assistance, deliverables and time.</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Verification checklist</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Require source, calculation, code, consistency, confidentiality and reviewer checks as applicable.</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Common failures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Include plausible but wrong outputs and why they fail.</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Workplace transfer</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Identify what can be reused and what requires local authorization.</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References and version</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Cite authoritative sources and record assumptions, tools and dates.</w:t>
            </w:r>
          </w:p>
        </w:tc>
      </w:tr>
    </w:tbl>
    <w:p>
      <w:pPr>
        <w:spacing w:after="20"/>
      </w:pPr>
    </w:p>
    <w:p>
      <w:pPr>
        <w:pStyle w:val="Heading2"/>
      </w:pPr>
      <w:r>
        <w:t>Writing rules</w:t>
      </w:r>
    </w:p>
    <w:p>
      <w:pPr>
        <w:pStyle w:val="ListBullet"/>
        <w:spacing w:after="40"/>
      </w:pPr>
      <w:r>
        <w:t>Use the language of statistical work rather than marketing language.</w:t>
      </w:r>
    </w:p>
    <w:p>
      <w:pPr>
        <w:pStyle w:val="ListBullet"/>
        <w:spacing w:after="40"/>
      </w:pPr>
      <w:r>
        <w:t>Separate mandatory rules from recommended practice and optional extensions.</w:t>
      </w:r>
    </w:p>
    <w:p>
      <w:pPr>
        <w:pStyle w:val="ListBullet"/>
        <w:spacing w:after="40"/>
      </w:pPr>
      <w:r>
        <w:t>Show uncertainty and contested choices; do not manufacture one correct answer where judgement is required.</w:t>
      </w:r>
    </w:p>
    <w:p>
      <w:pPr>
        <w:pStyle w:val="ListBullet"/>
        <w:spacing w:after="40"/>
      </w:pPr>
      <w:r>
        <w:t>Never instruct learners to paste sensitive information into an unapproved service.</w:t>
      </w:r>
    </w:p>
    <w:p>
      <w:pPr>
        <w:pStyle w:val="ListBullet"/>
        <w:spacing w:after="40"/>
      </w:pPr>
      <w:r>
        <w:t>Keep tool-specific button sequences in replaceable annexes when possible.</w:t>
      </w:r>
    </w:p>
    <w:p>
      <w:pPr>
        <w:pStyle w:val="ListBullet"/>
        <w:spacing w:after="40"/>
      </w:pPr>
      <w:r>
        <w:t>Use examples from more than one institutional context when the principle is meant to generalize.</w:t>
      </w:r>
    </w:p>
    <w:p>
      <w:pPr>
        <w:pStyle w:val="Heading1"/>
      </w:pPr>
      <w:r>
        <w:t>5 Facilitator guide standard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520"/>
            <w:shd w:fill="17365D"/>
            <w:tcMar>
              <w:top w:w="90" w:type="dxa"/>
              <w:start w:w="90" w:type="dxa"/>
              <w:bottom w:w="90" w:type="dxa"/>
              <w:end w:w="90" w:type="dxa"/>
            </w:tcMar>
            <w:vAlign w:val="center"/>
          </w:tcPr>
          <w:p>
            <w:pPr>
              <w:spacing w:after="0"/>
              <w:jc w:val="center"/>
            </w:pPr>
            <w:r>
              <w:rPr>
                <w:rFonts w:ascii="Aptos" w:hAnsi="Aptos"/>
                <w:b/>
                <w:color w:val="FFFFFF"/>
                <w:sz w:val="16"/>
              </w:rPr>
              <w:t>Field</w:t>
            </w:r>
          </w:p>
        </w:tc>
        <w:tc>
          <w:tcPr>
            <w:tcW w:type="dxa" w:w="7344"/>
            <w:shd w:fill="17365D"/>
            <w:tcMar>
              <w:top w:w="90" w:type="dxa"/>
              <w:start w:w="90" w:type="dxa"/>
              <w:bottom w:w="90" w:type="dxa"/>
              <w:end w:w="90" w:type="dxa"/>
            </w:tcMar>
            <w:vAlign w:val="center"/>
          </w:tcPr>
          <w:p>
            <w:pPr>
              <w:spacing w:after="0"/>
              <w:jc w:val="center"/>
            </w:pPr>
            <w:r>
              <w:rPr>
                <w:rFonts w:ascii="Aptos" w:hAnsi="Aptos"/>
                <w:b/>
                <w:color w:val="FFFFFF"/>
                <w:sz w:val="16"/>
              </w:rPr>
              <w:t>Required detail</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Session objective</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The performance participants must demonstrate by the end.</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Preparation</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Files, access, room or online setup, tool tests and safety checks.</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Minute plan</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Timing for challenge, explanation, demonstration, practice, feedback and assessment.</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Key questions</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Questions that reveal reasoning, confidence, assumptions and misunderstanding.</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Demonstration script</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Inputs, actions, narration, deliberate errors, verification and expected result.</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Observation points</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What the facilitator watches during practice and when to intervene.</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Likely errors</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Technical, statistical, governance and reasoning failures with corrective prompts.</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Debrief</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Questions connecting output quality, consequences, safeguards and workplace transfer.</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Adaptation</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Low-connectivity, non-code, advanced, accessibility and shorter-session options.</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Escalation</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Actions for disclosure, unsafe tool use, technical failure or learner distress.</w:t>
            </w:r>
          </w:p>
        </w:tc>
      </w:tr>
    </w:tbl>
    <w:p>
      <w:pPr>
        <w:spacing w:after="20"/>
      </w:pPr>
    </w:p>
    <w:p>
      <w:pPr>
        <w:pStyle w:val="Heading2"/>
      </w:pPr>
      <w:r>
        <w:t>Facilitation rule</w:t>
      </w:r>
    </w:p>
    <w:p>
      <w:r>
        <w:t>The facilitator does not rescue participants by completing the task. Intervention should expose the missing check or decision, then return responsibility to the learner. During assessment, only support specified in the assessment conditions is permitted.</w:t>
      </w:r>
    </w:p>
    <w:p>
      <w:pPr>
        <w:pStyle w:val="Heading1"/>
      </w:pPr>
      <w:r>
        <w:t>6 Practice exercise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6"/>
              </w:rPr>
              <w:t>Field</w:t>
            </w:r>
          </w:p>
        </w:tc>
        <w:tc>
          <w:tcPr>
            <w:tcW w:type="dxa" w:w="7200"/>
            <w:shd w:fill="17365D"/>
            <w:tcMar>
              <w:top w:w="90" w:type="dxa"/>
              <w:start w:w="90" w:type="dxa"/>
              <w:bottom w:w="90" w:type="dxa"/>
              <w:end w:w="90" w:type="dxa"/>
            </w:tcMar>
            <w:vAlign w:val="center"/>
          </w:tcPr>
          <w:p>
            <w:pPr>
              <w:spacing w:after="0"/>
              <w:jc w:val="center"/>
            </w:pPr>
            <w:r>
              <w:rPr>
                <w:rFonts w:ascii="Aptos" w:hAnsi="Aptos"/>
                <w:b/>
                <w:color w:val="FFFFFF"/>
                <w:sz w:val="16"/>
              </w:rPr>
              <w:t>Specification</w:t>
            </w:r>
          </w:p>
        </w:tc>
      </w:tr>
      <w:tr>
        <w:tc>
          <w:tcPr>
            <w:tcW w:type="dxa" w:w="2664"/>
            <w:tcMar>
              <w:top w:w="90" w:type="dxa"/>
              <w:start w:w="90" w:type="dxa"/>
              <w:bottom w:w="90" w:type="dxa"/>
              <w:end w:w="90" w:type="dxa"/>
            </w:tcMar>
            <w:vAlign w:val="center"/>
          </w:tcPr>
          <w:p>
            <w:pPr>
              <w:spacing w:after="0" w:line="240" w:lineRule="auto"/>
            </w:pPr>
            <w:r>
              <w:rPr>
                <w:rFonts w:ascii="Aptos" w:hAnsi="Aptos"/>
                <w:color w:val="000000"/>
                <w:sz w:val="16"/>
              </w:rPr>
              <w:t>Exercise ID and capability</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Stable link to module outcome and competency.</w:t>
            </w:r>
          </w:p>
        </w:tc>
      </w:tr>
      <w:tr>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6"/>
              </w:rPr>
              <w:t>Scenario</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Institution, statistical product, user need and operational context.</w:t>
            </w:r>
          </w:p>
        </w:tc>
      </w:tr>
      <w:tr>
        <w:tc>
          <w:tcPr>
            <w:tcW w:type="dxa" w:w="2664"/>
            <w:tcMar>
              <w:top w:w="90" w:type="dxa"/>
              <w:start w:w="90" w:type="dxa"/>
              <w:bottom w:w="90" w:type="dxa"/>
              <w:end w:w="90" w:type="dxa"/>
            </w:tcMar>
            <w:vAlign w:val="center"/>
          </w:tcPr>
          <w:p>
            <w:pPr>
              <w:spacing w:after="0" w:line="240" w:lineRule="auto"/>
            </w:pPr>
            <w:r>
              <w:rPr>
                <w:rFonts w:ascii="Aptos" w:hAnsi="Aptos"/>
                <w:color w:val="000000"/>
                <w:sz w:val="16"/>
              </w:rPr>
              <w:t>Role</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Position and decision authority assigned to the participant.</w:t>
            </w:r>
          </w:p>
        </w:tc>
      </w:tr>
      <w:tr>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6"/>
              </w:rPr>
              <w:t>Inputs</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Data, documents, metadata, code, messages or outputs supplied.</w:t>
            </w:r>
          </w:p>
        </w:tc>
      </w:tr>
      <w:tr>
        <w:tc>
          <w:tcPr>
            <w:tcW w:type="dxa" w:w="2664"/>
            <w:tcMar>
              <w:top w:w="90" w:type="dxa"/>
              <w:start w:w="90" w:type="dxa"/>
              <w:bottom w:w="90" w:type="dxa"/>
              <w:end w:w="90" w:type="dxa"/>
            </w:tcMar>
            <w:vAlign w:val="center"/>
          </w:tcPr>
          <w:p>
            <w:pPr>
              <w:spacing w:after="0" w:line="240" w:lineRule="auto"/>
            </w:pPr>
            <w:r>
              <w:rPr>
                <w:rFonts w:ascii="Aptos" w:hAnsi="Aptos"/>
                <w:color w:val="000000"/>
                <w:sz w:val="16"/>
              </w:rPr>
              <w:t>Embedded difficulty</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Known error, ambiguity, missing evidence, bias, edge case or constraint.</w:t>
            </w:r>
          </w:p>
        </w:tc>
      </w:tr>
      <w:tr>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6"/>
              </w:rPr>
              <w:t>Permitted resources</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Tools, references, collaboration and facilitator support allowed.</w:t>
            </w:r>
          </w:p>
        </w:tc>
      </w:tr>
      <w:tr>
        <w:tc>
          <w:tcPr>
            <w:tcW w:type="dxa" w:w="2664"/>
            <w:tcMar>
              <w:top w:w="90" w:type="dxa"/>
              <w:start w:w="90" w:type="dxa"/>
              <w:bottom w:w="90" w:type="dxa"/>
              <w:end w:w="90" w:type="dxa"/>
            </w:tcMar>
            <w:vAlign w:val="center"/>
          </w:tcPr>
          <w:p>
            <w:pPr>
              <w:spacing w:after="0" w:line="240" w:lineRule="auto"/>
            </w:pPr>
            <w:r>
              <w:rPr>
                <w:rFonts w:ascii="Aptos" w:hAnsi="Aptos"/>
                <w:color w:val="000000"/>
                <w:sz w:val="16"/>
              </w:rPr>
              <w:t>Prohibited actions</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Unsafe data use, external upload, undisclosed automation or other boundary.</w:t>
            </w:r>
          </w:p>
        </w:tc>
      </w:tr>
      <w:tr>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6"/>
              </w:rPr>
              <w:t>Deliverables</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Exact files, decisions, logs and explanations required.</w:t>
            </w:r>
          </w:p>
        </w:tc>
      </w:tr>
      <w:tr>
        <w:tc>
          <w:tcPr>
            <w:tcW w:type="dxa" w:w="2664"/>
            <w:tcMar>
              <w:top w:w="90" w:type="dxa"/>
              <w:start w:w="90" w:type="dxa"/>
              <w:bottom w:w="90" w:type="dxa"/>
              <w:end w:w="90" w:type="dxa"/>
            </w:tcMar>
            <w:vAlign w:val="center"/>
          </w:tcPr>
          <w:p>
            <w:pPr>
              <w:spacing w:after="0" w:line="240" w:lineRule="auto"/>
            </w:pPr>
            <w:r>
              <w:rPr>
                <w:rFonts w:ascii="Aptos" w:hAnsi="Aptos"/>
                <w:color w:val="000000"/>
                <w:sz w:val="16"/>
              </w:rPr>
              <w:t>Time and completion rule</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Expected duration and what constitutes a complete submission.</w:t>
            </w:r>
          </w:p>
        </w:tc>
      </w:tr>
      <w:tr>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6"/>
              </w:rPr>
              <w:t>Assessment link</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Rubric criteria, critical failures and evidence retained.</w:t>
            </w:r>
          </w:p>
        </w:tc>
      </w:tr>
    </w:tbl>
    <w:p>
      <w:pPr>
        <w:spacing w:after="20"/>
      </w:pPr>
    </w:p>
    <w:p>
      <w:pPr>
        <w:pStyle w:val="Heading2"/>
      </w:pPr>
      <w:r>
        <w:t>Exercise difficulty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Level</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Design</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P1 Reproduction</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Known inputs and explicit steps; learner reproduces and checks a demonstrated workflow.</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P2 Guided judgement</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Some steps omitted; learner selects checks and explains a decision.</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P3 Independent application</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Imperfect realistic inputs; learner plans, performs, documents and defends the work.</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P4 Assurance challenge</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Conflicting evidence, high consequence or team output; learner reviews, challenges and decides.</w:t>
            </w:r>
          </w:p>
        </w:tc>
      </w:tr>
    </w:tbl>
    <w:p>
      <w:pPr>
        <w:spacing w:after="20"/>
      </w:pPr>
    </w:p>
    <w:p>
      <w:pPr>
        <w:pStyle w:val="Heading1"/>
      </w:pPr>
      <w:r>
        <w:t>7 Dataset and source material standard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Control</w:t>
            </w:r>
          </w:p>
        </w:tc>
        <w:tc>
          <w:tcPr>
            <w:tcW w:type="dxa" w:w="7488"/>
            <w:shd w:fill="17365D"/>
            <w:tcMar>
              <w:top w:w="90" w:type="dxa"/>
              <w:start w:w="90" w:type="dxa"/>
              <w:bottom w:w="90" w:type="dxa"/>
              <w:end w:w="90" w:type="dxa"/>
            </w:tcMar>
            <w:vAlign w:val="center"/>
          </w:tcPr>
          <w:p>
            <w:pPr>
              <w:spacing w:after="0"/>
              <w:jc w:val="center"/>
            </w:pPr>
            <w:r>
              <w:rPr>
                <w:rFonts w:ascii="Aptos" w:hAnsi="Aptos"/>
                <w:b/>
                <w:color w:val="FFFFFF"/>
                <w:sz w:val="16"/>
              </w:rPr>
              <w:t>Requirement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Authority</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Record owner, license or authorization, permitted use and prohibited redistribution.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Disclosure risk</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Classify sensitivity and apply de-identification, synthesis or secure access as required.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Provenance</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Record origin, collection purpose, dates, population, transformations and responsible contact.</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Metadata</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Include variables, classifications, units, missing values, identifiers and quality notes.</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Known truth</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Document benchmark, planted defects, expected patterns and intentionally unresolved uncertainty.</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Representativeness</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State what the material can and cannot represent; avoid implied national validity.</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Version control</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Stable version, checksum where appropriate, change log and dependency links.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Retention</w:t>
            </w:r>
          </w:p>
        </w:tc>
        <w:tc>
          <w:tcPr>
            <w:tcW w:type="dxa" w:w="7488"/>
            <w:tcMar>
              <w:top w:w="90" w:type="dxa"/>
              <w:start w:w="90" w:type="dxa"/>
              <w:bottom w:w="90" w:type="dxa"/>
              <w:end w:w="90" w:type="dxa"/>
            </w:tcMar>
            <w:vAlign w:val="center"/>
            <w:shd w:fill="F3F6F9"/>
          </w:tcPr>
          <w:p>
            <w:pPr>
              <w:spacing w:after="0" w:line="240" w:lineRule="auto"/>
            </w:pPr>
            <w:r>
              <w:rPr>
                <w:rFonts w:ascii="Aptos" w:hAnsi="Aptos"/>
                <w:color w:val="000000"/>
                <w:sz w:val="16"/>
              </w:rPr>
              <w:t>State storage, access, deletion and evidence-retention rules.</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6"/>
              </w:rPr>
              <w:t>Fallback</w:t>
            </w:r>
          </w:p>
        </w:tc>
        <w:tc>
          <w:tcPr>
            <w:tcW w:type="dxa" w:w="7488"/>
            <w:tcMar>
              <w:top w:w="90" w:type="dxa"/>
              <w:start w:w="90" w:type="dxa"/>
              <w:bottom w:w="90" w:type="dxa"/>
              <w:end w:w="90" w:type="dxa"/>
            </w:tcMar>
            <w:vAlign w:val="center"/>
          </w:tcPr>
          <w:p>
            <w:pPr>
              <w:spacing w:after="0" w:line="240" w:lineRule="auto"/>
            </w:pPr>
            <w:r>
              <w:rPr>
                <w:rFonts w:ascii="Aptos" w:hAnsi="Aptos"/>
                <w:color w:val="000000"/>
                <w:sz w:val="16"/>
              </w:rPr>
              <w:t>Provide a small or offline version that tests the same capability where feasible.</w:t>
            </w:r>
          </w:p>
        </w:tc>
      </w:tr>
    </w:tbl>
    <w:p>
      <w:pPr>
        <w:spacing w:after="20"/>
      </w:pPr>
    </w:p>
    <w:p>
      <w:pPr>
        <w:pStyle w:val="Heading2"/>
      </w:pPr>
      <w:r>
        <w:t>Synthetic data rule</w:t>
      </w:r>
    </w:p>
    <w:p>
      <w:r>
        <w:t>Synthetic data must be labelled synthetic and designed to preserve the learning problem, not presented as empirical evidence. It should reproduce the relevant error mechanisms and relationships without recreating identifiable records. When a realistic disclosure-control lesson requires sensitive conditions, use an approved secure environment and a separate access protocol.</w:t>
      </w:r>
    </w:p>
    <w:p>
      <w:pPr>
        <w:pStyle w:val="Heading1"/>
      </w:pPr>
      <w:r>
        <w:t>8 AI interaction and prompt record</w:t>
      </w:r>
    </w:p>
    <w:p>
      <w:r>
        <w:t>Prompts are treated as controlled work instructions, not magic formulas. Exercises involving generative systems must capture enough information to evaluate and reproduce the interaction.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448"/>
            <w:shd w:fill="17365D"/>
            <w:tcMar>
              <w:top w:w="90" w:type="dxa"/>
              <w:start w:w="90" w:type="dxa"/>
              <w:bottom w:w="90" w:type="dxa"/>
              <w:end w:w="90" w:type="dxa"/>
            </w:tcMar>
            <w:vAlign w:val="center"/>
          </w:tcPr>
          <w:p>
            <w:pPr>
              <w:spacing w:after="0"/>
              <w:jc w:val="center"/>
            </w:pPr>
            <w:r>
              <w:rPr>
                <w:rFonts w:ascii="Aptos" w:hAnsi="Aptos"/>
                <w:b/>
                <w:color w:val="FFFFFF"/>
                <w:sz w:val="16"/>
              </w:rPr>
              <w:t>Field</w:t>
            </w:r>
          </w:p>
        </w:tc>
        <w:tc>
          <w:tcPr>
            <w:tcW w:type="dxa" w:w="7416"/>
            <w:shd w:fill="17365D"/>
            <w:tcMar>
              <w:top w:w="90" w:type="dxa"/>
              <w:start w:w="90" w:type="dxa"/>
              <w:bottom w:w="90" w:type="dxa"/>
              <w:end w:w="90" w:type="dxa"/>
            </w:tcMar>
            <w:vAlign w:val="center"/>
          </w:tcPr>
          <w:p>
            <w:pPr>
              <w:spacing w:after="0"/>
              <w:jc w:val="center"/>
            </w:pPr>
            <w:r>
              <w:rPr>
                <w:rFonts w:ascii="Aptos" w:hAnsi="Aptos"/>
                <w:b/>
                <w:color w:val="FFFFFF"/>
                <w:sz w:val="16"/>
              </w:rPr>
              <w:t>Record</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Purpose and boundary</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Task, intended user, excluded decisions and prohibited data.</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Context supplied</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Sources, definitions, classifications, examples and constraints.</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Instruction</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Requested action, output structure, uncertainty handling and refusal or escalation conditions.</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Tool state</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Tool or model, date, settings, retrieval sources and material version information available.</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Output</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Original response retained where permitted.</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Verification</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Claims, calculations, code, confidentiality and consistency checks.</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Corrections</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What changed, why and by whom.</w:t>
            </w:r>
          </w:p>
        </w:tc>
      </w:tr>
      <w:tr>
        <w:tc>
          <w:tcPr>
            <w:tcW w:type="dxa" w:w="2448"/>
            <w:tcMar>
              <w:top w:w="90" w:type="dxa"/>
              <w:start w:w="90" w:type="dxa"/>
              <w:bottom w:w="90" w:type="dxa"/>
              <w:end w:w="90" w:type="dxa"/>
            </w:tcMar>
            <w:vAlign w:val="center"/>
            <w:shd w:fill="F3F6F9"/>
          </w:tcPr>
          <w:p>
            <w:pPr>
              <w:spacing w:after="0" w:line="240" w:lineRule="auto"/>
            </w:pPr>
            <w:r>
              <w:rPr>
                <w:rFonts w:ascii="Aptos" w:hAnsi="Aptos"/>
                <w:color w:val="000000"/>
                <w:sz w:val="16"/>
              </w:rPr>
              <w:t>Final decision</w:t>
            </w:r>
          </w:p>
        </w:tc>
        <w:tc>
          <w:tcPr>
            <w:tcW w:type="dxa" w:w="7416"/>
            <w:tcMar>
              <w:top w:w="90" w:type="dxa"/>
              <w:start w:w="90" w:type="dxa"/>
              <w:bottom w:w="90" w:type="dxa"/>
              <w:end w:w="90" w:type="dxa"/>
            </w:tcMar>
            <w:vAlign w:val="center"/>
            <w:shd w:fill="F3F6F9"/>
          </w:tcPr>
          <w:p>
            <w:pPr>
              <w:spacing w:after="0" w:line="240" w:lineRule="auto"/>
            </w:pPr>
            <w:r>
              <w:rPr>
                <w:rFonts w:ascii="Aptos" w:hAnsi="Aptos"/>
                <w:color w:val="000000"/>
                <w:sz w:val="16"/>
              </w:rPr>
              <w:t>Accept, edit, restrict, reject or escalate with justification.</w:t>
            </w:r>
          </w:p>
        </w:tc>
      </w:tr>
      <w:tr>
        <w:tc>
          <w:tcPr>
            <w:tcW w:type="dxa" w:w="2448"/>
            <w:tcMar>
              <w:top w:w="90" w:type="dxa"/>
              <w:start w:w="90" w:type="dxa"/>
              <w:bottom w:w="90" w:type="dxa"/>
              <w:end w:w="90" w:type="dxa"/>
            </w:tcMar>
            <w:vAlign w:val="center"/>
          </w:tcPr>
          <w:p>
            <w:pPr>
              <w:spacing w:after="0" w:line="240" w:lineRule="auto"/>
            </w:pPr>
            <w:r>
              <w:rPr>
                <w:rFonts w:ascii="Aptos" w:hAnsi="Aptos"/>
                <w:color w:val="000000"/>
                <w:sz w:val="16"/>
              </w:rPr>
              <w:t>Reuse conditions</w:t>
            </w:r>
          </w:p>
        </w:tc>
        <w:tc>
          <w:tcPr>
            <w:tcW w:type="dxa" w:w="7416"/>
            <w:tcMar>
              <w:top w:w="90" w:type="dxa"/>
              <w:start w:w="90" w:type="dxa"/>
              <w:bottom w:w="90" w:type="dxa"/>
              <w:end w:w="90" w:type="dxa"/>
            </w:tcMar>
            <w:vAlign w:val="center"/>
          </w:tcPr>
          <w:p>
            <w:pPr>
              <w:spacing w:after="0" w:line="240" w:lineRule="auto"/>
            </w:pPr>
            <w:r>
              <w:rPr>
                <w:rFonts w:ascii="Aptos" w:hAnsi="Aptos"/>
                <w:color w:val="000000"/>
                <w:sz w:val="16"/>
              </w:rPr>
              <w:t>Tasks and contexts for which the instruction is or is not approved.</w:t>
            </w:r>
          </w:p>
        </w:tc>
      </w:tr>
    </w:tbl>
    <w:p>
      <w:pPr>
        <w:spacing w:after="20"/>
      </w:pPr>
    </w:p>
    <w:p>
      <w:pPr>
        <w:pStyle w:val="Heading1"/>
      </w:pPr>
      <w:r>
        <w:t>9 Laboratory production standard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088"/>
            <w:shd w:fill="17365D"/>
            <w:tcMar>
              <w:top w:w="90" w:type="dxa"/>
              <w:start w:w="90" w:type="dxa"/>
              <w:bottom w:w="90" w:type="dxa"/>
              <w:end w:w="90" w:type="dxa"/>
            </w:tcMar>
            <w:vAlign w:val="center"/>
          </w:tcPr>
          <w:p>
            <w:pPr>
              <w:spacing w:after="0"/>
              <w:jc w:val="center"/>
            </w:pPr>
            <w:r>
              <w:rPr>
                <w:rFonts w:ascii="Aptos" w:hAnsi="Aptos"/>
                <w:b/>
                <w:color w:val="FFFFFF"/>
                <w:sz w:val="15"/>
              </w:rPr>
              <w:t>Laboratory stage</w:t>
            </w:r>
          </w:p>
        </w:tc>
        <w:tc>
          <w:tcPr>
            <w:tcW w:type="dxa" w:w="4968"/>
            <w:shd w:fill="17365D"/>
            <w:tcMar>
              <w:top w:w="90" w:type="dxa"/>
              <w:start w:w="90" w:type="dxa"/>
              <w:bottom w:w="90" w:type="dxa"/>
              <w:end w:w="90" w:type="dxa"/>
            </w:tcMar>
            <w:vAlign w:val="center"/>
          </w:tcPr>
          <w:p>
            <w:pPr>
              <w:spacing w:after="0"/>
              <w:jc w:val="center"/>
            </w:pPr>
            <w:r>
              <w:rPr>
                <w:rFonts w:ascii="Aptos" w:hAnsi="Aptos"/>
                <w:b/>
                <w:color w:val="FFFFFF"/>
                <w:sz w:val="15"/>
              </w:rPr>
              <w:t>Design requirement</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5"/>
              </w:rPr>
              <w:t>Participant product</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1 Statistical need</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Realistic user need, decision, consequence and product context.</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Problem and fitness statement.</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2 Source inspection</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Data origin, process, metadata, quality, access and change history.</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Source and risk profile.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3 Baseline</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Current method, performance, effort and failure modes.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Baseline record.</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4 AI-assisted method</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Bounded workflow, tools, human roles and prohibited actions.</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Procedure and responsibility map.</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5 Benchmark</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Approved reference, sample, metrics, subgroups and tolerances.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Evaluation matrix.</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6 Controlled execution</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Locked inputs, version records, deviation and incident logging.</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Execution evidence.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7 Analysis</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Quality, uncertainty, differential performance, workload and costs.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Validation report.</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5"/>
              </w:rPr>
              <w:t>8 Decision</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Scale, restrict, redesign or stop with conditions.</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Assurance decision.</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5"/>
              </w:rPr>
              <w:t>9 Monitoring</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Quality, drift, incidents, benefits, fallback and review schedule.</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Monitoring specification.</w:t>
            </w:r>
          </w:p>
        </w:tc>
      </w:tr>
    </w:tbl>
    <w:p>
      <w:pPr>
        <w:spacing w:after="20"/>
      </w:pPr>
    </w:p>
    <w:p>
      <w:pPr>
        <w:pStyle w:val="Heading2"/>
      </w:pPr>
      <w:r>
        <w:t>Laboratory release conditions</w:t>
      </w:r>
    </w:p>
    <w:p>
      <w:pPr>
        <w:pStyle w:val="ListBullet"/>
        <w:spacing w:after="40"/>
      </w:pPr>
      <w:r>
        <w:t>A subject-matter statistician confirms the task and benchmark.</w:t>
      </w:r>
    </w:p>
    <w:p>
      <w:pPr>
        <w:pStyle w:val="ListBullet"/>
        <w:spacing w:after="40"/>
      </w:pPr>
      <w:r>
        <w:t>A data steward confirms provenance and permitted use.</w:t>
      </w:r>
    </w:p>
    <w:p>
      <w:pPr>
        <w:pStyle w:val="ListBullet"/>
        <w:spacing w:after="40"/>
      </w:pPr>
      <w:r>
        <w:t>A technical reviewer independently reproduces key results.</w:t>
      </w:r>
    </w:p>
    <w:p>
      <w:pPr>
        <w:pStyle w:val="ListBullet"/>
        <w:spacing w:after="40"/>
      </w:pPr>
      <w:r>
        <w:t>A safety reviewer confirms confidentiality, security and tool boundaries.</w:t>
      </w:r>
    </w:p>
    <w:p>
      <w:pPr>
        <w:pStyle w:val="ListBullet"/>
        <w:spacing w:after="40"/>
      </w:pPr>
      <w:r>
        <w:t>An assessor can distinguish competent, weak and unsafe submissions using the rubric.</w:t>
      </w:r>
    </w:p>
    <w:p>
      <w:pPr>
        <w:pStyle w:val="ListBullet"/>
        <w:spacing w:after="40"/>
      </w:pPr>
      <w:r>
        <w:t>At least two representative learners complete a usability test before release.</w:t>
      </w:r>
    </w:p>
    <w:p>
      <w:pPr>
        <w:pStyle w:val="Heading1"/>
      </w:pPr>
      <w:r>
        <w:t>10 Answer and decision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592"/>
            <w:shd w:fill="17365D"/>
            <w:tcMar>
              <w:top w:w="90" w:type="dxa"/>
              <w:start w:w="90" w:type="dxa"/>
              <w:bottom w:w="90" w:type="dxa"/>
              <w:end w:w="90" w:type="dxa"/>
            </w:tcMar>
            <w:vAlign w:val="center"/>
          </w:tcPr>
          <w:p>
            <w:pPr>
              <w:spacing w:after="0"/>
              <w:jc w:val="center"/>
            </w:pPr>
            <w:r>
              <w:rPr>
                <w:rFonts w:ascii="Aptos" w:hAnsi="Aptos"/>
                <w:b/>
                <w:color w:val="FFFFFF"/>
                <w:sz w:val="16"/>
              </w:rPr>
              <w:t>Element</w:t>
            </w:r>
          </w:p>
        </w:tc>
        <w:tc>
          <w:tcPr>
            <w:tcW w:type="dxa" w:w="7272"/>
            <w:shd w:fill="17365D"/>
            <w:tcMar>
              <w:top w:w="90" w:type="dxa"/>
              <w:start w:w="90" w:type="dxa"/>
              <w:bottom w:w="90" w:type="dxa"/>
              <w:end w:w="90" w:type="dxa"/>
            </w:tcMar>
            <w:vAlign w:val="center"/>
          </w:tcPr>
          <w:p>
            <w:pPr>
              <w:spacing w:after="0"/>
              <w:jc w:val="center"/>
            </w:pPr>
            <w:r>
              <w:rPr>
                <w:rFonts w:ascii="Aptos" w:hAnsi="Aptos"/>
                <w:b/>
                <w:color w:val="FFFFFF"/>
                <w:sz w:val="16"/>
              </w:rPr>
              <w:t>Required content</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Reference route</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One defensible workflow, including checks and evidence.</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Acceptable alternatives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Other valid methods or decisions and their conditions.</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Expected results</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Values, ranges, classifications or decision features with tolerances.</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Reasoning anchors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Evidence and principles that must appear in a competent justification.</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Common wrong answers</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Plausible errors, their cause and the feedback they require.</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Critical failures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Unsafe actions or omissions that override aggregate scores.</w:t>
            </w:r>
          </w:p>
        </w:tc>
      </w:tr>
      <w:tr>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Unresolved uncertainty</w:t>
            </w:r>
          </w:p>
        </w:tc>
        <w:tc>
          <w:tcPr>
            <w:tcW w:type="dxa" w:w="7272"/>
            <w:tcMar>
              <w:top w:w="90" w:type="dxa"/>
              <w:start w:w="90" w:type="dxa"/>
              <w:bottom w:w="90" w:type="dxa"/>
              <w:end w:w="90" w:type="dxa"/>
            </w:tcMar>
            <w:vAlign w:val="center"/>
          </w:tcPr>
          <w:p>
            <w:pPr>
              <w:spacing w:after="0" w:line="240" w:lineRule="auto"/>
            </w:pPr>
            <w:r>
              <w:rPr>
                <w:rFonts w:ascii="Aptos" w:hAnsi="Aptos"/>
                <w:color w:val="000000"/>
                <w:sz w:val="16"/>
              </w:rPr>
              <w:t>Questions intentionally left open and how a professional should handle them.</w:t>
            </w:r>
          </w:p>
        </w:tc>
      </w:tr>
      <w:tr>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Assessor notes</w:t>
            </w:r>
          </w:p>
        </w:tc>
        <w:tc>
          <w:tcPr>
            <w:tcW w:type="dxa" w:w="7272"/>
            <w:tcMar>
              <w:top w:w="90" w:type="dxa"/>
              <w:start w:w="90" w:type="dxa"/>
              <w:bottom w:w="90" w:type="dxa"/>
              <w:end w:w="90" w:type="dxa"/>
            </w:tcMar>
            <w:vAlign w:val="center"/>
            <w:shd w:fill="F3F6F9"/>
          </w:tcPr>
          <w:p>
            <w:pPr>
              <w:spacing w:after="0" w:line="240" w:lineRule="auto"/>
            </w:pPr>
            <w:r>
              <w:rPr>
                <w:rFonts w:ascii="Aptos" w:hAnsi="Aptos"/>
                <w:color w:val="000000"/>
                <w:sz w:val="16"/>
              </w:rPr>
              <w:t>What may be disclosed during assessment and how to treat partial evidence.</w:t>
            </w:r>
          </w:p>
        </w:tc>
      </w:tr>
    </w:tbl>
    <w:p>
      <w:pPr>
        <w:spacing w:after="20"/>
      </w:pPr>
    </w:p>
    <w:p>
      <w:pPr>
        <w:pStyle w:val="Heading2"/>
      </w:pPr>
      <w:r>
        <w:t>No hidden guess rule</w:t>
      </w:r>
    </w:p>
    <w:p>
      <w:r>
        <w:t>The guide may withhold a benchmark during the task, but it must not require the learner to guess an unstated preference. Judgement tasks must state the governing principles and accept defensible alternatives. Assessment rewards evidence and reasoning, not conformity to a single stylistic answer.</w:t>
      </w:r>
    </w:p>
    <w:p>
      <w:pPr>
        <w:pStyle w:val="Heading1"/>
      </w:pPr>
      <w:r>
        <w:t>11 Assessment pack and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4"/>
              </w:rPr>
              <w:t>Criterion</w:t>
            </w:r>
          </w:p>
        </w:tc>
        <w:tc>
          <w:tcPr>
            <w:tcW w:type="dxa" w:w="936"/>
            <w:shd w:fill="17365D"/>
            <w:tcMar>
              <w:top w:w="90" w:type="dxa"/>
              <w:start w:w="90" w:type="dxa"/>
              <w:bottom w:w="90" w:type="dxa"/>
              <w:end w:w="90" w:type="dxa"/>
            </w:tcMar>
            <w:vAlign w:val="center"/>
          </w:tcPr>
          <w:p>
            <w:pPr>
              <w:spacing w:after="0"/>
              <w:jc w:val="center"/>
            </w:pPr>
            <w:r>
              <w:rPr>
                <w:rFonts w:ascii="Aptos" w:hAnsi="Aptos"/>
                <w:b/>
                <w:color w:val="FFFFFF"/>
                <w:sz w:val="14"/>
              </w:rPr>
              <w:t>Weight</w:t>
            </w:r>
          </w:p>
        </w:tc>
        <w:tc>
          <w:tcPr>
            <w:tcW w:type="dxa" w:w="4392"/>
            <w:shd w:fill="17365D"/>
            <w:tcMar>
              <w:top w:w="90" w:type="dxa"/>
              <w:start w:w="90" w:type="dxa"/>
              <w:bottom w:w="90" w:type="dxa"/>
              <w:end w:w="90" w:type="dxa"/>
            </w:tcMar>
            <w:vAlign w:val="center"/>
          </w:tcPr>
          <w:p>
            <w:pPr>
              <w:spacing w:after="0"/>
              <w:jc w:val="center"/>
            </w:pPr>
            <w:r>
              <w:rPr>
                <w:rFonts w:ascii="Aptos" w:hAnsi="Aptos"/>
                <w:b/>
                <w:color w:val="FFFFFF"/>
                <w:sz w:val="14"/>
              </w:rPr>
              <w:t>Competent evidence</w:t>
            </w:r>
          </w:p>
        </w:tc>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4"/>
              </w:rPr>
              <w:t>Critical failure example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Purpose and boundary</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4"/>
              </w:rPr>
              <w:t>10</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Need, user, authority and excluded uses are explicit.</w:t>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Performs or automates an unauthorized decision.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Evidence and provenance</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4"/>
              </w:rPr>
              <w:t>15</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Sources and inputs are traceable; confidence is stated.</w:t>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Fabricates or conceals a source.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Method and quality</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4"/>
              </w:rPr>
              <w:t>25</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Method, benchmark, tolerances and checks fit the use.</w:t>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Releases a materially failed result.</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Verification and reproducibility</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4"/>
              </w:rPr>
              <w:t>20</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Work can be checked and rerun; corrections are recorded.</w:t>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Claims verification that was not performed.</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Governance and confidentiality</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4"/>
              </w:rPr>
              <w:t>15</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Approved access, tool, review and escalation are used.</w:t>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Uploads protected information without authorization.</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Professional judgement</w:t>
            </w:r>
          </w:p>
        </w:tc>
        <w:tc>
          <w:tcPr>
            <w:tcW w:type="dxa" w:w="936"/>
            <w:tcMar>
              <w:top w:w="90" w:type="dxa"/>
              <w:start w:w="90" w:type="dxa"/>
              <w:bottom w:w="90" w:type="dxa"/>
              <w:end w:w="90" w:type="dxa"/>
            </w:tcMar>
            <w:vAlign w:val="center"/>
            <w:shd w:fill="F3F6F9"/>
          </w:tcPr>
          <w:p>
            <w:pPr>
              <w:spacing w:after="0" w:line="240" w:lineRule="auto"/>
            </w:pPr>
            <w:r>
              <w:rPr>
                <w:rFonts w:ascii="Aptos" w:hAnsi="Aptos"/>
                <w:color w:val="000000"/>
                <w:sz w:val="14"/>
              </w:rPr>
              <w:t>10</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Decision addresses limitations and consequences.</w:t>
            </w:r>
          </w:p>
        </w:tc>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Accepts output solely because it appears plausible.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Communication</w:t>
            </w:r>
          </w:p>
        </w:tc>
        <w:tc>
          <w:tcPr>
            <w:tcW w:type="dxa" w:w="936"/>
            <w:tcMar>
              <w:top w:w="90" w:type="dxa"/>
              <w:start w:w="90" w:type="dxa"/>
              <w:bottom w:w="90" w:type="dxa"/>
              <w:end w:w="90" w:type="dxa"/>
            </w:tcMar>
            <w:vAlign w:val="center"/>
          </w:tcPr>
          <w:p>
            <w:pPr>
              <w:spacing w:after="0" w:line="240" w:lineRule="auto"/>
            </w:pPr>
            <w:r>
              <w:rPr>
                <w:rFonts w:ascii="Aptos" w:hAnsi="Aptos"/>
                <w:color w:val="000000"/>
                <w:sz w:val="14"/>
              </w:rPr>
              <w:t>5</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Result and limitations are clear to the intended user.</w:t>
            </w:r>
          </w:p>
        </w:tc>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Materially overstates certainty.</w:t>
            </w:r>
          </w:p>
        </w:tc>
      </w:tr>
    </w:tbl>
    <w:p>
      <w:pPr>
        <w:spacing w:after="20"/>
      </w:pPr>
    </w:p>
    <w:p>
      <w:pPr>
        <w:pStyle w:val="Heading2"/>
      </w:pPr>
      <w:r>
        <w:t>Decision rule</w:t>
      </w:r>
    </w:p>
    <w:p>
      <w:r>
        <w:t>Competent normally requires at least 70 of 100, no critical failure and the minimum score specified for every mandatory criterion. Lead-level work requires at least 85, independent challenge of the evidence and a defensible decision under uncertainty. Scores support judgement; they do not replace it.</w:t>
      </w:r>
    </w:p>
    <w:p>
      <w:pPr>
        <w:pStyle w:val="Heading2"/>
      </w:pPr>
      <w:r>
        <w:t>Reassessment</w:t>
      </w:r>
    </w:p>
    <w:p>
      <w:r>
        <w:t>A learner receives criterion-level feedback and repeats only the failed evidence unless the failure reveals a systemic gap. A critical failure requires a fresh task or scenario that demonstrates corrected judgement. Reassessment status and support are recorded separately from the original result.</w:t>
      </w:r>
    </w:p>
    <w:p>
      <w:pPr>
        <w:pStyle w:val="Heading1"/>
      </w:pPr>
      <w:r>
        <w:t>12 Technical validation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Check</w:t>
            </w:r>
          </w:p>
        </w:tc>
        <w:tc>
          <w:tcPr>
            <w:tcW w:type="dxa" w:w="4968"/>
            <w:shd w:fill="17365D"/>
            <w:tcMar>
              <w:top w:w="90" w:type="dxa"/>
              <w:start w:w="90" w:type="dxa"/>
              <w:bottom w:w="90" w:type="dxa"/>
              <w:end w:w="90" w:type="dxa"/>
            </w:tcMar>
            <w:vAlign w:val="center"/>
          </w:tcPr>
          <w:p>
            <w:pPr>
              <w:spacing w:after="0"/>
              <w:jc w:val="center"/>
            </w:pPr>
            <w:r>
              <w:rPr>
                <w:rFonts w:ascii="Aptos" w:hAnsi="Aptos"/>
                <w:b/>
                <w:color w:val="FFFFFF"/>
                <w:sz w:val="15"/>
              </w:rPr>
              <w:t>Reviewer action</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Pass evidence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Files open and run</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Open all files in the supported environment; run code from a clean start.</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Validation log and environment record.</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Calculations</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Recalculate key totals, rates, intervals and comparisons independently.</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Independent calculation sheet.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Expected outputs</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Compare visible and hidden benchmarks, tolerances and edge cases.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Result comparison and discrepancy resolution.</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AI variability</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Repeat material generative tasks and test failure-provoking inputs.</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Stability and failure notes.</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Reproducibility</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Recreate the result using the released instructions and inputs.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Successful rerun or documented non-determinism.</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Links and references</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Open sources and confirm that cited claims are supported.</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Reference check record.</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Accessibility</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Test reading order, contrast, labels, captions and alternatives.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Accessibility checklist.</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Security</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Confirm no credentials, protected data or unsafe external calls are embedded.</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Safety sign-off.</w:t>
            </w:r>
          </w:p>
        </w:tc>
      </w:tr>
    </w:tbl>
    <w:p>
      <w:pPr>
        <w:spacing w:after="20"/>
      </w:pPr>
    </w:p>
    <w:p>
      <w:pPr>
        <w:pStyle w:val="Heading1"/>
      </w:pPr>
      <w:r>
        <w:t>13 Pilot test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6"/>
              </w:rPr>
              <w:t>Step</w:t>
            </w:r>
          </w:p>
        </w:tc>
        <w:tc>
          <w:tcPr>
            <w:tcW w:type="dxa" w:w="4536"/>
            <w:shd w:fill="17365D"/>
            <w:tcMar>
              <w:top w:w="90" w:type="dxa"/>
              <w:start w:w="90" w:type="dxa"/>
              <w:bottom w:w="90" w:type="dxa"/>
              <w:end w:w="90" w:type="dxa"/>
            </w:tcMar>
            <w:vAlign w:val="center"/>
          </w:tcPr>
          <w:p>
            <w:pPr>
              <w:spacing w:after="0"/>
              <w:jc w:val="center"/>
            </w:pPr>
            <w:r>
              <w:rPr>
                <w:rFonts w:ascii="Aptos" w:hAnsi="Aptos"/>
                <w:b/>
                <w:color w:val="FFFFFF"/>
                <w:sz w:val="16"/>
              </w:rPr>
              <w:t>Measure</w:t>
            </w:r>
          </w:p>
        </w:tc>
        <w:tc>
          <w:tcPr>
            <w:tcW w:type="dxa" w:w="3528"/>
            <w:shd w:fill="17365D"/>
            <w:tcMar>
              <w:top w:w="90" w:type="dxa"/>
              <w:start w:w="90" w:type="dxa"/>
              <w:bottom w:w="90" w:type="dxa"/>
              <w:end w:w="90" w:type="dxa"/>
            </w:tcMar>
            <w:vAlign w:val="center"/>
          </w:tcPr>
          <w:p>
            <w:pPr>
              <w:spacing w:after="0"/>
              <w:jc w:val="center"/>
            </w:pPr>
            <w:r>
              <w:rPr>
                <w:rFonts w:ascii="Aptos" w:hAnsi="Aptos"/>
                <w:b/>
                <w:color w:val="FFFFFF"/>
                <w:sz w:val="16"/>
              </w:rPr>
              <w:t>Acceptance signal</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Recruit</w:t>
            </w:r>
          </w:p>
        </w:tc>
        <w:tc>
          <w:tcPr>
            <w:tcW w:type="dxa" w:w="4536"/>
            <w:tcMar>
              <w:top w:w="90" w:type="dxa"/>
              <w:start w:w="90" w:type="dxa"/>
              <w:bottom w:w="90" w:type="dxa"/>
              <w:end w:w="90" w:type="dxa"/>
            </w:tcMar>
            <w:vAlign w:val="center"/>
          </w:tcPr>
          <w:p>
            <w:pPr>
              <w:spacing w:after="0" w:line="240" w:lineRule="auto"/>
            </w:pPr>
            <w:r>
              <w:rPr>
                <w:rFonts w:ascii="Aptos" w:hAnsi="Aptos"/>
                <w:color w:val="000000"/>
                <w:sz w:val="16"/>
              </w:rPr>
              <w:t>Include intended roles and at least one participant near the minimum prerequisite level.</w:t>
            </w:r>
          </w:p>
        </w:tc>
        <w:tc>
          <w:tcPr>
            <w:tcW w:type="dxa" w:w="3528"/>
            <w:tcMar>
              <w:top w:w="90" w:type="dxa"/>
              <w:start w:w="90" w:type="dxa"/>
              <w:bottom w:w="90" w:type="dxa"/>
              <w:end w:w="90" w:type="dxa"/>
            </w:tcMar>
            <w:vAlign w:val="center"/>
          </w:tcPr>
          <w:p>
            <w:pPr>
              <w:spacing w:after="0" w:line="240" w:lineRule="auto"/>
            </w:pPr>
            <w:r>
              <w:rPr>
                <w:rFonts w:ascii="Aptos" w:hAnsi="Aptos"/>
                <w:color w:val="000000"/>
                <w:sz w:val="16"/>
              </w:rPr>
              <w:t>Test group represents the target pathway.</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Observe</w:t>
            </w:r>
          </w:p>
        </w:tc>
        <w:tc>
          <w:tcPr>
            <w:tcW w:type="dxa" w:w="4536"/>
            <w:tcMar>
              <w:top w:w="90" w:type="dxa"/>
              <w:start w:w="90" w:type="dxa"/>
              <w:bottom w:w="90" w:type="dxa"/>
              <w:end w:w="90" w:type="dxa"/>
            </w:tcMar>
            <w:vAlign w:val="center"/>
            <w:shd w:fill="F3F6F9"/>
          </w:tcPr>
          <w:p>
            <w:pPr>
              <w:spacing w:after="0" w:line="240" w:lineRule="auto"/>
            </w:pPr>
            <w:r>
              <w:rPr>
                <w:rFonts w:ascii="Aptos" w:hAnsi="Aptos"/>
                <w:color w:val="000000"/>
                <w:sz w:val="16"/>
              </w:rPr>
              <w:t>Record completion, questions, errors, assistance, time and unsafe tendencies.</w:t>
            </w:r>
          </w:p>
        </w:tc>
        <w:tc>
          <w:tcPr>
            <w:tcW w:type="dxa" w:w="3528"/>
            <w:tcMar>
              <w:top w:w="90" w:type="dxa"/>
              <w:start w:w="90" w:type="dxa"/>
              <w:bottom w:w="90" w:type="dxa"/>
              <w:end w:w="90" w:type="dxa"/>
            </w:tcMar>
            <w:vAlign w:val="center"/>
            <w:shd w:fill="F3F6F9"/>
          </w:tcPr>
          <w:p>
            <w:pPr>
              <w:spacing w:after="0" w:line="240" w:lineRule="auto"/>
            </w:pPr>
            <w:r>
              <w:rPr>
                <w:rFonts w:ascii="Aptos" w:hAnsi="Aptos"/>
                <w:color w:val="000000"/>
                <w:sz w:val="16"/>
              </w:rPr>
              <w:t>No unanticipated critical failure caused by unclear design.</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Assess</w:t>
            </w:r>
          </w:p>
        </w:tc>
        <w:tc>
          <w:tcPr>
            <w:tcW w:type="dxa" w:w="4536"/>
            <w:tcMar>
              <w:top w:w="90" w:type="dxa"/>
              <w:start w:w="90" w:type="dxa"/>
              <w:bottom w:w="90" w:type="dxa"/>
              <w:end w:w="90" w:type="dxa"/>
            </w:tcMar>
            <w:vAlign w:val="center"/>
          </w:tcPr>
          <w:p>
            <w:pPr>
              <w:spacing w:after="0" w:line="240" w:lineRule="auto"/>
            </w:pPr>
            <w:r>
              <w:rPr>
                <w:rFonts w:ascii="Aptos" w:hAnsi="Aptos"/>
                <w:color w:val="000000"/>
                <w:sz w:val="16"/>
              </w:rPr>
              <w:t>Double-score a sample and compare assessor decisions.</w:t>
            </w:r>
          </w:p>
        </w:tc>
        <w:tc>
          <w:tcPr>
            <w:tcW w:type="dxa" w:w="3528"/>
            <w:tcMar>
              <w:top w:w="90" w:type="dxa"/>
              <w:start w:w="90" w:type="dxa"/>
              <w:bottom w:w="90" w:type="dxa"/>
              <w:end w:w="90" w:type="dxa"/>
            </w:tcMar>
            <w:vAlign w:val="center"/>
          </w:tcPr>
          <w:p>
            <w:pPr>
              <w:spacing w:after="0" w:line="240" w:lineRule="auto"/>
            </w:pPr>
            <w:r>
              <w:rPr>
                <w:rFonts w:ascii="Aptos" w:hAnsi="Aptos"/>
                <w:color w:val="000000"/>
                <w:sz w:val="16"/>
              </w:rPr>
              <w:t>Material scoring disagreements are resolved and rubric improved.</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Debrief</w:t>
            </w:r>
          </w:p>
        </w:tc>
        <w:tc>
          <w:tcPr>
            <w:tcW w:type="dxa" w:w="4536"/>
            <w:tcMar>
              <w:top w:w="90" w:type="dxa"/>
              <w:start w:w="90" w:type="dxa"/>
              <w:bottom w:w="90" w:type="dxa"/>
              <w:end w:w="90" w:type="dxa"/>
            </w:tcMar>
            <w:vAlign w:val="center"/>
            <w:shd w:fill="F3F6F9"/>
          </w:tcPr>
          <w:p>
            <w:pPr>
              <w:spacing w:after="0" w:line="240" w:lineRule="auto"/>
            </w:pPr>
            <w:r>
              <w:rPr>
                <w:rFonts w:ascii="Aptos" w:hAnsi="Aptos"/>
                <w:color w:val="000000"/>
                <w:sz w:val="16"/>
              </w:rPr>
              <w:t>Ask what was unclear, unrealistic, difficult, useful and transferable.</w:t>
            </w:r>
          </w:p>
        </w:tc>
        <w:tc>
          <w:tcPr>
            <w:tcW w:type="dxa" w:w="3528"/>
            <w:tcMar>
              <w:top w:w="90" w:type="dxa"/>
              <w:start w:w="90" w:type="dxa"/>
              <w:bottom w:w="90" w:type="dxa"/>
              <w:end w:w="90" w:type="dxa"/>
            </w:tcMar>
            <w:vAlign w:val="center"/>
            <w:shd w:fill="F3F6F9"/>
          </w:tcPr>
          <w:p>
            <w:pPr>
              <w:spacing w:after="0" w:line="240" w:lineRule="auto"/>
            </w:pPr>
            <w:r>
              <w:rPr>
                <w:rFonts w:ascii="Aptos" w:hAnsi="Aptos"/>
                <w:color w:val="000000"/>
                <w:sz w:val="16"/>
              </w:rPr>
              <w:t>Changes distinguish learning challenge from design defect.</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Revise</w:t>
            </w:r>
          </w:p>
        </w:tc>
        <w:tc>
          <w:tcPr>
            <w:tcW w:type="dxa" w:w="4536"/>
            <w:tcMar>
              <w:top w:w="90" w:type="dxa"/>
              <w:start w:w="90" w:type="dxa"/>
              <w:bottom w:w="90" w:type="dxa"/>
              <w:end w:w="90" w:type="dxa"/>
            </w:tcMar>
            <w:vAlign w:val="center"/>
          </w:tcPr>
          <w:p>
            <w:pPr>
              <w:spacing w:after="0" w:line="240" w:lineRule="auto"/>
            </w:pPr>
            <w:r>
              <w:rPr>
                <w:rFonts w:ascii="Aptos" w:hAnsi="Aptos"/>
                <w:color w:val="000000"/>
                <w:sz w:val="16"/>
              </w:rPr>
              <w:t>Record every change and its evidence.</w:t>
            </w:r>
          </w:p>
        </w:tc>
        <w:tc>
          <w:tcPr>
            <w:tcW w:type="dxa" w:w="3528"/>
            <w:tcMar>
              <w:top w:w="90" w:type="dxa"/>
              <w:start w:w="90" w:type="dxa"/>
              <w:bottom w:w="90" w:type="dxa"/>
              <w:end w:w="90" w:type="dxa"/>
            </w:tcMar>
            <w:vAlign w:val="center"/>
          </w:tcPr>
          <w:p>
            <w:pPr>
              <w:spacing w:after="0" w:line="240" w:lineRule="auto"/>
            </w:pPr>
            <w:r>
              <w:rPr>
                <w:rFonts w:ascii="Aptos" w:hAnsi="Aptos"/>
                <w:color w:val="000000"/>
                <w:sz w:val="16"/>
              </w:rPr>
              <w:t>All priority defects closed or explicitly accepted.</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Authorize</w:t>
            </w:r>
          </w:p>
        </w:tc>
        <w:tc>
          <w:tcPr>
            <w:tcW w:type="dxa" w:w="4536"/>
            <w:tcMar>
              <w:top w:w="90" w:type="dxa"/>
              <w:start w:w="90" w:type="dxa"/>
              <w:bottom w:w="90" w:type="dxa"/>
              <w:end w:w="90" w:type="dxa"/>
            </w:tcMar>
            <w:vAlign w:val="center"/>
            <w:shd w:fill="F3F6F9"/>
          </w:tcPr>
          <w:p>
            <w:pPr>
              <w:spacing w:after="0" w:line="240" w:lineRule="auto"/>
            </w:pPr>
            <w:r>
              <w:rPr>
                <w:rFonts w:ascii="Aptos" w:hAnsi="Aptos"/>
                <w:color w:val="000000"/>
                <w:sz w:val="16"/>
              </w:rPr>
              <w:t>Obtain required release approvals.</w:t>
            </w:r>
          </w:p>
        </w:tc>
        <w:tc>
          <w:tcPr>
            <w:tcW w:type="dxa" w:w="3528"/>
            <w:tcMar>
              <w:top w:w="90" w:type="dxa"/>
              <w:start w:w="90" w:type="dxa"/>
              <w:bottom w:w="90" w:type="dxa"/>
              <w:end w:w="90" w:type="dxa"/>
            </w:tcMar>
            <w:vAlign w:val="center"/>
            <w:shd w:fill="F3F6F9"/>
          </w:tcPr>
          <w:p>
            <w:pPr>
              <w:spacing w:after="0" w:line="240" w:lineRule="auto"/>
            </w:pPr>
            <w:r>
              <w:rPr>
                <w:rFonts w:ascii="Aptos" w:hAnsi="Aptos"/>
                <w:color w:val="000000"/>
                <w:sz w:val="16"/>
              </w:rPr>
              <w:t>Version and next review date assigned.</w:t>
            </w:r>
          </w:p>
        </w:tc>
      </w:tr>
    </w:tbl>
    <w:p>
      <w:pPr>
        <w:spacing w:after="20"/>
      </w:pPr>
    </w:p>
    <w:p>
      <w:pPr>
        <w:pStyle w:val="Heading2"/>
      </w:pPr>
      <w:r>
        <w:t>Minimum pilot sample</w:t>
      </w:r>
    </w:p>
    <w:p>
      <w:r>
        <w:t>For an initial reference module, use at least six representative learners when feasible, including multiple roles and capability levels, plus two facilitators or assessors. Smaller institutions may use a regional or peer-country group. The objective is defect discovery, not statistical estimation of programme impact.</w:t>
      </w:r>
    </w:p>
    <w:p>
      <w:pPr>
        <w:pStyle w:val="Heading1"/>
      </w:pPr>
      <w:r>
        <w:t>14 Release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088"/>
            <w:shd w:fill="17365D"/>
            <w:tcMar>
              <w:top w:w="90" w:type="dxa"/>
              <w:start w:w="90" w:type="dxa"/>
              <w:bottom w:w="90" w:type="dxa"/>
              <w:end w:w="90" w:type="dxa"/>
            </w:tcMar>
            <w:vAlign w:val="center"/>
          </w:tcPr>
          <w:p>
            <w:pPr>
              <w:spacing w:after="0"/>
              <w:jc w:val="center"/>
            </w:pPr>
            <w:r>
              <w:rPr>
                <w:rFonts w:ascii="Aptos" w:hAnsi="Aptos"/>
                <w:b/>
                <w:color w:val="FFFFFF"/>
                <w:sz w:val="16"/>
              </w:rPr>
              <w:t>Area</w:t>
            </w:r>
          </w:p>
        </w:tc>
        <w:tc>
          <w:tcPr>
            <w:tcW w:type="dxa" w:w="6768"/>
            <w:shd w:fill="17365D"/>
            <w:tcMar>
              <w:top w:w="90" w:type="dxa"/>
              <w:start w:w="90" w:type="dxa"/>
              <w:bottom w:w="90" w:type="dxa"/>
              <w:end w:w="90" w:type="dxa"/>
            </w:tcMar>
            <w:vAlign w:val="center"/>
          </w:tcPr>
          <w:p>
            <w:pPr>
              <w:spacing w:after="0"/>
              <w:jc w:val="center"/>
            </w:pPr>
            <w:r>
              <w:rPr>
                <w:rFonts w:ascii="Aptos" w:hAnsi="Aptos"/>
                <w:b/>
                <w:color w:val="FFFFFF"/>
                <w:sz w:val="16"/>
              </w:rPr>
              <w:t>Release question</w:t>
            </w:r>
          </w:p>
        </w:tc>
        <w:tc>
          <w:tcPr>
            <w:tcW w:type="dxa" w:w="1008"/>
            <w:shd w:fill="17365D"/>
            <w:tcMar>
              <w:top w:w="90" w:type="dxa"/>
              <w:start w:w="90" w:type="dxa"/>
              <w:bottom w:w="90" w:type="dxa"/>
              <w:end w:w="90" w:type="dxa"/>
            </w:tcMar>
            <w:vAlign w:val="center"/>
          </w:tcPr>
          <w:p>
            <w:pPr>
              <w:spacing w:after="0"/>
              <w:jc w:val="center"/>
            </w:pPr>
            <w:r>
              <w:rPr>
                <w:rFonts w:ascii="Aptos" w:hAnsi="Aptos"/>
                <w:b/>
                <w:color w:val="FFFFFF"/>
                <w:sz w:val="16"/>
              </w:rPr>
              <w:t>Status</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Alignment</w:t>
            </w:r>
          </w:p>
        </w:tc>
        <w:tc>
          <w:tcPr>
            <w:tcW w:type="dxa" w:w="6768"/>
            <w:tcMar>
              <w:top w:w="90" w:type="dxa"/>
              <w:start w:w="90" w:type="dxa"/>
              <w:bottom w:w="90" w:type="dxa"/>
              <w:end w:w="90" w:type="dxa"/>
            </w:tcMar>
            <w:vAlign w:val="center"/>
          </w:tcPr>
          <w:p>
            <w:pPr>
              <w:spacing w:after="0" w:line="240" w:lineRule="auto"/>
            </w:pPr>
            <w:r>
              <w:rPr>
                <w:rFonts w:ascii="Aptos" w:hAnsi="Aptos"/>
                <w:color w:val="000000"/>
                <w:sz w:val="16"/>
              </w:rPr>
              <w:t>Are Phase 2A competencies, levels and pathway links explicit?</w:t>
            </w:r>
          </w:p>
        </w:tc>
        <w:tc>
          <w:tcPr>
            <w:tcW w:type="dxa" w:w="1008"/>
            <w:tcMar>
              <w:top w:w="90" w:type="dxa"/>
              <w:start w:w="90" w:type="dxa"/>
              <w:bottom w:w="90" w:type="dxa"/>
              <w:end w:w="90" w:type="dxa"/>
            </w:tcMar>
            <w:vAlign w:val="center"/>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Statistical validity</w:t>
            </w:r>
          </w:p>
        </w:tc>
        <w:tc>
          <w:tcPr>
            <w:tcW w:type="dxa" w:w="6768"/>
            <w:tcMar>
              <w:top w:w="90" w:type="dxa"/>
              <w:start w:w="90" w:type="dxa"/>
              <w:bottom w:w="90" w:type="dxa"/>
              <w:end w:w="90" w:type="dxa"/>
            </w:tcMar>
            <w:vAlign w:val="center"/>
            <w:shd w:fill="F3F6F9"/>
          </w:tcPr>
          <w:p>
            <w:pPr>
              <w:spacing w:after="0" w:line="240" w:lineRule="auto"/>
            </w:pPr>
            <w:r>
              <w:rPr>
                <w:rFonts w:ascii="Aptos" w:hAnsi="Aptos"/>
                <w:color w:val="000000"/>
                <w:sz w:val="16"/>
              </w:rPr>
              <w:t>Are concepts, methods, benchmarks and decisions correct?</w:t>
            </w:r>
          </w:p>
        </w:tc>
        <w:tc>
          <w:tcPr>
            <w:tcW w:type="dxa" w:w="1008"/>
            <w:tcMar>
              <w:top w:w="90" w:type="dxa"/>
              <w:start w:w="90" w:type="dxa"/>
              <w:bottom w:w="90" w:type="dxa"/>
              <w:end w:w="90" w:type="dxa"/>
            </w:tcMar>
            <w:vAlign w:val="center"/>
            <w:shd w:fill="F3F6F9"/>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Practice</w:t>
            </w:r>
          </w:p>
        </w:tc>
        <w:tc>
          <w:tcPr>
            <w:tcW w:type="dxa" w:w="6768"/>
            <w:tcMar>
              <w:top w:w="90" w:type="dxa"/>
              <w:start w:w="90" w:type="dxa"/>
              <w:bottom w:w="90" w:type="dxa"/>
              <w:end w:w="90" w:type="dxa"/>
            </w:tcMar>
            <w:vAlign w:val="center"/>
          </w:tcPr>
          <w:p>
            <w:pPr>
              <w:spacing w:after="0" w:line="240" w:lineRule="auto"/>
            </w:pPr>
            <w:r>
              <w:rPr>
                <w:rFonts w:ascii="Aptos" w:hAnsi="Aptos"/>
                <w:color w:val="000000"/>
                <w:sz w:val="16"/>
              </w:rPr>
              <w:t>Do participants perform and produce assessable evidence?</w:t>
            </w:r>
          </w:p>
        </w:tc>
        <w:tc>
          <w:tcPr>
            <w:tcW w:type="dxa" w:w="1008"/>
            <w:tcMar>
              <w:top w:w="90" w:type="dxa"/>
              <w:start w:w="90" w:type="dxa"/>
              <w:bottom w:w="90" w:type="dxa"/>
              <w:end w:w="90" w:type="dxa"/>
            </w:tcMar>
            <w:vAlign w:val="center"/>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Data and safety</w:t>
            </w:r>
          </w:p>
        </w:tc>
        <w:tc>
          <w:tcPr>
            <w:tcW w:type="dxa" w:w="6768"/>
            <w:tcMar>
              <w:top w:w="90" w:type="dxa"/>
              <w:start w:w="90" w:type="dxa"/>
              <w:bottom w:w="90" w:type="dxa"/>
              <w:end w:w="90" w:type="dxa"/>
            </w:tcMar>
            <w:vAlign w:val="center"/>
            <w:shd w:fill="F3F6F9"/>
          </w:tcPr>
          <w:p>
            <w:pPr>
              <w:spacing w:after="0" w:line="240" w:lineRule="auto"/>
            </w:pPr>
            <w:r>
              <w:rPr>
                <w:rFonts w:ascii="Aptos" w:hAnsi="Aptos"/>
                <w:color w:val="000000"/>
                <w:sz w:val="16"/>
              </w:rPr>
              <w:t>Are authority, confidentiality, security and tool controls complete?</w:t>
            </w:r>
          </w:p>
        </w:tc>
        <w:tc>
          <w:tcPr>
            <w:tcW w:type="dxa" w:w="1008"/>
            <w:tcMar>
              <w:top w:w="90" w:type="dxa"/>
              <w:start w:w="90" w:type="dxa"/>
              <w:bottom w:w="90" w:type="dxa"/>
              <w:end w:w="90" w:type="dxa"/>
            </w:tcMar>
            <w:vAlign w:val="center"/>
            <w:shd w:fill="F3F6F9"/>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Assessment</w:t>
            </w:r>
          </w:p>
        </w:tc>
        <w:tc>
          <w:tcPr>
            <w:tcW w:type="dxa" w:w="6768"/>
            <w:tcMar>
              <w:top w:w="90" w:type="dxa"/>
              <w:start w:w="90" w:type="dxa"/>
              <w:bottom w:w="90" w:type="dxa"/>
              <w:end w:w="90" w:type="dxa"/>
            </w:tcMar>
            <w:vAlign w:val="center"/>
          </w:tcPr>
          <w:p>
            <w:pPr>
              <w:spacing w:after="0" w:line="240" w:lineRule="auto"/>
            </w:pPr>
            <w:r>
              <w:rPr>
                <w:rFonts w:ascii="Aptos" w:hAnsi="Aptos"/>
                <w:color w:val="000000"/>
                <w:sz w:val="16"/>
              </w:rPr>
              <w:t>Can assessors distinguish competent, weak and unsafe work consistently?</w:t>
            </w:r>
          </w:p>
        </w:tc>
        <w:tc>
          <w:tcPr>
            <w:tcW w:type="dxa" w:w="1008"/>
            <w:tcMar>
              <w:top w:w="90" w:type="dxa"/>
              <w:start w:w="90" w:type="dxa"/>
              <w:bottom w:w="90" w:type="dxa"/>
              <w:end w:w="90" w:type="dxa"/>
            </w:tcMar>
            <w:vAlign w:val="center"/>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Technical quality</w:t>
            </w:r>
          </w:p>
        </w:tc>
        <w:tc>
          <w:tcPr>
            <w:tcW w:type="dxa" w:w="6768"/>
            <w:tcMar>
              <w:top w:w="90" w:type="dxa"/>
              <w:start w:w="90" w:type="dxa"/>
              <w:bottom w:w="90" w:type="dxa"/>
              <w:end w:w="90" w:type="dxa"/>
            </w:tcMar>
            <w:vAlign w:val="center"/>
            <w:shd w:fill="F3F6F9"/>
          </w:tcPr>
          <w:p>
            <w:pPr>
              <w:spacing w:after="0" w:line="240" w:lineRule="auto"/>
            </w:pPr>
            <w:r>
              <w:rPr>
                <w:rFonts w:ascii="Aptos" w:hAnsi="Aptos"/>
                <w:color w:val="000000"/>
                <w:sz w:val="16"/>
              </w:rPr>
              <w:t>Do all files, calculations, code and expected outputs work?</w:t>
            </w:r>
          </w:p>
        </w:tc>
        <w:tc>
          <w:tcPr>
            <w:tcW w:type="dxa" w:w="1008"/>
            <w:tcMar>
              <w:top w:w="90" w:type="dxa"/>
              <w:start w:w="90" w:type="dxa"/>
              <w:bottom w:w="90" w:type="dxa"/>
              <w:end w:w="90" w:type="dxa"/>
            </w:tcMar>
            <w:vAlign w:val="center"/>
            <w:shd w:fill="F3F6F9"/>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Facilitation</w:t>
            </w:r>
          </w:p>
        </w:tc>
        <w:tc>
          <w:tcPr>
            <w:tcW w:type="dxa" w:w="6768"/>
            <w:tcMar>
              <w:top w:w="90" w:type="dxa"/>
              <w:start w:w="90" w:type="dxa"/>
              <w:bottom w:w="90" w:type="dxa"/>
              <w:end w:w="90" w:type="dxa"/>
            </w:tcMar>
            <w:vAlign w:val="center"/>
          </w:tcPr>
          <w:p>
            <w:pPr>
              <w:spacing w:after="0" w:line="240" w:lineRule="auto"/>
            </w:pPr>
            <w:r>
              <w:rPr>
                <w:rFonts w:ascii="Aptos" w:hAnsi="Aptos"/>
                <w:color w:val="000000"/>
                <w:sz w:val="16"/>
              </w:rPr>
              <w:t>Can another qualified trainer deliver the module from the guide?</w:t>
            </w:r>
          </w:p>
        </w:tc>
        <w:tc>
          <w:tcPr>
            <w:tcW w:type="dxa" w:w="1008"/>
            <w:tcMar>
              <w:top w:w="90" w:type="dxa"/>
              <w:start w:w="90" w:type="dxa"/>
              <w:bottom w:w="90" w:type="dxa"/>
              <w:end w:w="90" w:type="dxa"/>
            </w:tcMar>
            <w:vAlign w:val="center"/>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Accessibility</w:t>
            </w:r>
          </w:p>
        </w:tc>
        <w:tc>
          <w:tcPr>
            <w:tcW w:type="dxa" w:w="6768"/>
            <w:tcMar>
              <w:top w:w="90" w:type="dxa"/>
              <w:start w:w="90" w:type="dxa"/>
              <w:bottom w:w="90" w:type="dxa"/>
              <w:end w:w="90" w:type="dxa"/>
            </w:tcMar>
            <w:vAlign w:val="center"/>
            <w:shd w:fill="F3F6F9"/>
          </w:tcPr>
          <w:p>
            <w:pPr>
              <w:spacing w:after="0" w:line="240" w:lineRule="auto"/>
            </w:pPr>
            <w:r>
              <w:rPr>
                <w:rFonts w:ascii="Aptos" w:hAnsi="Aptos"/>
                <w:color w:val="000000"/>
                <w:sz w:val="16"/>
              </w:rPr>
              <w:t>Are formats, visuals, language and alternatives usable?</w:t>
            </w:r>
          </w:p>
        </w:tc>
        <w:tc>
          <w:tcPr>
            <w:tcW w:type="dxa" w:w="1008"/>
            <w:tcMar>
              <w:top w:w="90" w:type="dxa"/>
              <w:start w:w="90" w:type="dxa"/>
              <w:bottom w:w="90" w:type="dxa"/>
              <w:end w:w="90" w:type="dxa"/>
            </w:tcMar>
            <w:vAlign w:val="center"/>
            <w:shd w:fill="F3F6F9"/>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Localization</w:t>
            </w:r>
          </w:p>
        </w:tc>
        <w:tc>
          <w:tcPr>
            <w:tcW w:type="dxa" w:w="6768"/>
            <w:tcMar>
              <w:top w:w="90" w:type="dxa"/>
              <w:start w:w="90" w:type="dxa"/>
              <w:bottom w:w="90" w:type="dxa"/>
              <w:end w:w="90" w:type="dxa"/>
            </w:tcMar>
            <w:vAlign w:val="center"/>
          </w:tcPr>
          <w:p>
            <w:pPr>
              <w:spacing w:after="0" w:line="240" w:lineRule="auto"/>
            </w:pPr>
            <w:r>
              <w:rPr>
                <w:rFonts w:ascii="Aptos" w:hAnsi="Aptos"/>
                <w:color w:val="000000"/>
                <w:sz w:val="16"/>
              </w:rPr>
              <w:t>Are fixed principles separated from country-specific elements?</w:t>
            </w:r>
          </w:p>
        </w:tc>
        <w:tc>
          <w:tcPr>
            <w:tcW w:type="dxa" w:w="1008"/>
            <w:tcMar>
              <w:top w:w="90" w:type="dxa"/>
              <w:start w:w="90" w:type="dxa"/>
              <w:bottom w:w="90" w:type="dxa"/>
              <w:end w:w="90" w:type="dxa"/>
            </w:tcMar>
            <w:vAlign w:val="center"/>
          </w:tcPr>
          <w:p>
            <w:pPr>
              <w:spacing w:after="0" w:line="240" w:lineRule="auto"/>
            </w:pPr>
            <w:r>
              <w:rPr>
                <w:rFonts w:ascii="Aptos" w:hAnsi="Aptos"/>
                <w:color w:val="000000"/>
                <w:sz w:val="16"/>
              </w:rPr>
              <w:t>Pass / revise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Version control</w:t>
            </w:r>
          </w:p>
        </w:tc>
        <w:tc>
          <w:tcPr>
            <w:tcW w:type="dxa" w:w="6768"/>
            <w:tcMar>
              <w:top w:w="90" w:type="dxa"/>
              <w:start w:w="90" w:type="dxa"/>
              <w:bottom w:w="90" w:type="dxa"/>
              <w:end w:w="90" w:type="dxa"/>
            </w:tcMar>
            <w:vAlign w:val="center"/>
            <w:shd w:fill="F3F6F9"/>
          </w:tcPr>
          <w:p>
            <w:pPr>
              <w:spacing w:after="0" w:line="240" w:lineRule="auto"/>
            </w:pPr>
            <w:r>
              <w:rPr>
                <w:rFonts w:ascii="Aptos" w:hAnsi="Aptos"/>
                <w:color w:val="000000"/>
                <w:sz w:val="16"/>
              </w:rPr>
              <w:t>Are owner, approvals, dependencies, changes and review date recorded?</w:t>
            </w:r>
          </w:p>
        </w:tc>
        <w:tc>
          <w:tcPr>
            <w:tcW w:type="dxa" w:w="1008"/>
            <w:tcMar>
              <w:top w:w="90" w:type="dxa"/>
              <w:start w:w="90" w:type="dxa"/>
              <w:bottom w:w="90" w:type="dxa"/>
              <w:end w:w="90" w:type="dxa"/>
            </w:tcMar>
            <w:vAlign w:val="center"/>
            <w:shd w:fill="F3F6F9"/>
          </w:tcPr>
          <w:p>
            <w:pPr>
              <w:spacing w:after="0" w:line="240" w:lineRule="auto"/>
            </w:pPr>
            <w:r>
              <w:rPr>
                <w:rFonts w:ascii="Aptos" w:hAnsi="Aptos"/>
                <w:color w:val="000000"/>
                <w:sz w:val="16"/>
              </w:rPr>
              <w:t>Pass / revise</w:t>
            </w:r>
          </w:p>
        </w:tc>
      </w:tr>
    </w:tbl>
    <w:p>
      <w:pPr>
        <w:spacing w:after="20"/>
      </w:pPr>
    </w:p>
    <w:p>
      <w:pPr>
        <w:pStyle w:val="Heading2"/>
      </w:pPr>
      <w:r>
        <w:t>Approval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520"/>
            <w:shd w:fill="17365D"/>
            <w:tcMar>
              <w:top w:w="90" w:type="dxa"/>
              <w:start w:w="90" w:type="dxa"/>
              <w:bottom w:w="90" w:type="dxa"/>
              <w:end w:w="90" w:type="dxa"/>
            </w:tcMar>
            <w:vAlign w:val="center"/>
          </w:tcPr>
          <w:p>
            <w:pPr>
              <w:spacing w:after="0"/>
              <w:jc w:val="center"/>
            </w:pPr>
            <w:r>
              <w:rPr>
                <w:rFonts w:ascii="Aptos" w:hAnsi="Aptos"/>
                <w:b/>
                <w:color w:val="FFFFFF"/>
                <w:sz w:val="16"/>
              </w:rPr>
              <w:t>Role</w:t>
            </w:r>
          </w:p>
        </w:tc>
        <w:tc>
          <w:tcPr>
            <w:tcW w:type="dxa" w:w="7344"/>
            <w:shd w:fill="17365D"/>
            <w:tcMar>
              <w:top w:w="90" w:type="dxa"/>
              <w:start w:w="90" w:type="dxa"/>
              <w:bottom w:w="90" w:type="dxa"/>
              <w:end w:w="90" w:type="dxa"/>
            </w:tcMar>
            <w:vAlign w:val="center"/>
          </w:tcPr>
          <w:p>
            <w:pPr>
              <w:spacing w:after="0"/>
              <w:jc w:val="center"/>
            </w:pPr>
            <w:r>
              <w:rPr>
                <w:rFonts w:ascii="Aptos" w:hAnsi="Aptos"/>
                <w:b/>
                <w:color w:val="FFFFFF"/>
                <w:sz w:val="16"/>
              </w:rPr>
              <w:t>Approval scope</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Product owner</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Completeness, ownership, resources and release decision.</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Statistical reviewer</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Methods, concepts, fitness for use and professional authority.</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Domain reviewer</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Sector accuracy, realism and terminology.</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Technical validator</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Data, code, calculation, tool behavior and reproducibility.</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6"/>
              </w:rPr>
              <w:t>Safety reviewer</w:t>
            </w:r>
          </w:p>
        </w:tc>
        <w:tc>
          <w:tcPr>
            <w:tcW w:type="dxa" w:w="7344"/>
            <w:tcMar>
              <w:top w:w="90" w:type="dxa"/>
              <w:start w:w="90" w:type="dxa"/>
              <w:bottom w:w="90" w:type="dxa"/>
              <w:end w:w="90" w:type="dxa"/>
            </w:tcMar>
            <w:vAlign w:val="center"/>
          </w:tcPr>
          <w:p>
            <w:pPr>
              <w:spacing w:after="0" w:line="240" w:lineRule="auto"/>
            </w:pPr>
            <w:r>
              <w:rPr>
                <w:rFonts w:ascii="Aptos" w:hAnsi="Aptos"/>
                <w:color w:val="000000"/>
                <w:sz w:val="16"/>
              </w:rPr>
              <w:t>Authority, confidentiality, security, ethics and incident controls.</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6"/>
              </w:rPr>
              <w:t>Learning and assessment reviewer</w:t>
            </w:r>
          </w:p>
        </w:tc>
        <w:tc>
          <w:tcPr>
            <w:tcW w:type="dxa" w:w="7344"/>
            <w:tcMar>
              <w:top w:w="90" w:type="dxa"/>
              <w:start w:w="90" w:type="dxa"/>
              <w:bottom w:w="90" w:type="dxa"/>
              <w:end w:w="90" w:type="dxa"/>
            </w:tcMar>
            <w:vAlign w:val="center"/>
            <w:shd w:fill="F3F6F9"/>
          </w:tcPr>
          <w:p>
            <w:pPr>
              <w:spacing w:after="0" w:line="240" w:lineRule="auto"/>
            </w:pPr>
            <w:r>
              <w:rPr>
                <w:rFonts w:ascii="Aptos" w:hAnsi="Aptos"/>
                <w:color w:val="000000"/>
                <w:sz w:val="16"/>
              </w:rPr>
              <w:t>Outcomes, practice, rubric, accessibility and facilitator usability.</w:t>
            </w:r>
          </w:p>
        </w:tc>
      </w:tr>
    </w:tbl>
    <w:p>
      <w:pPr>
        <w:spacing w:after="20"/>
      </w:pPr>
    </w:p>
    <w:p>
      <w:pPr>
        <w:pStyle w:val="Heading1"/>
      </w:pPr>
      <w:r>
        <w:t>15 Change control and maintenance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6"/>
              </w:rPr>
              <w:t>Change type</w:t>
            </w:r>
          </w:p>
        </w:tc>
        <w:tc>
          <w:tcPr>
            <w:tcW w:type="dxa" w:w="6984"/>
            <w:shd w:fill="17365D"/>
            <w:tcMar>
              <w:top w:w="90" w:type="dxa"/>
              <w:start w:w="90" w:type="dxa"/>
              <w:bottom w:w="90" w:type="dxa"/>
              <w:end w:w="90" w:type="dxa"/>
            </w:tcMar>
            <w:vAlign w:val="center"/>
          </w:tcPr>
          <w:p>
            <w:pPr>
              <w:spacing w:after="0"/>
              <w:jc w:val="center"/>
            </w:pPr>
            <w:r>
              <w:rPr>
                <w:rFonts w:ascii="Aptos" w:hAnsi="Aptos"/>
                <w:b/>
                <w:color w:val="FFFFFF"/>
                <w:sz w:val="16"/>
              </w:rPr>
              <w:t>Required response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Editorial correction</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Owner correction, recorded in change log; no reassessment impact.</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Tool interface or model update</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Retest demonstrations, prompts, outputs, screenshots and failure cases.</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Method or benchmark change</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Statistical review, technical revalidation and possible assessment update.</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Law policy or security change</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Immediate safety review; suspend affected activity if necessary.</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Dataset revision</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Recalculate benchmarks, answer guides and expected tolerances.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Assessment decision change</w:t>
            </w:r>
          </w:p>
        </w:tc>
        <w:tc>
          <w:tcPr>
            <w:tcW w:type="dxa" w:w="6984"/>
            <w:tcMar>
              <w:top w:w="90" w:type="dxa"/>
              <w:start w:w="90" w:type="dxa"/>
              <w:bottom w:w="90" w:type="dxa"/>
              <w:end w:w="90" w:type="dxa"/>
            </w:tcMar>
            <w:vAlign w:val="center"/>
            <w:shd w:fill="F3F6F9"/>
          </w:tcPr>
          <w:p>
            <w:pPr>
              <w:spacing w:after="0" w:line="240" w:lineRule="auto"/>
            </w:pPr>
            <w:r>
              <w:rPr>
                <w:rFonts w:ascii="Aptos" w:hAnsi="Aptos"/>
                <w:color w:val="000000"/>
                <w:sz w:val="16"/>
              </w:rPr>
              <w:t>Recalibrate assessors and notify affected learners under institutional policy.</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Major redesign</w:t>
            </w:r>
          </w:p>
        </w:tc>
        <w:tc>
          <w:tcPr>
            <w:tcW w:type="dxa" w:w="6984"/>
            <w:tcMar>
              <w:top w:w="90" w:type="dxa"/>
              <w:start w:w="90" w:type="dxa"/>
              <w:bottom w:w="90" w:type="dxa"/>
              <w:end w:w="90" w:type="dxa"/>
            </w:tcMar>
            <w:vAlign w:val="center"/>
          </w:tcPr>
          <w:p>
            <w:pPr>
              <w:spacing w:after="0" w:line="240" w:lineRule="auto"/>
            </w:pPr>
            <w:r>
              <w:rPr>
                <w:rFonts w:ascii="Aptos" w:hAnsi="Aptos"/>
                <w:color w:val="000000"/>
                <w:sz w:val="16"/>
              </w:rPr>
              <w:t>New minor or major version and representative learner pilot.</w:t>
            </w:r>
          </w:p>
        </w:tc>
      </w:tr>
    </w:tbl>
    <w:p>
      <w:pPr>
        <w:spacing w:after="20"/>
      </w:pPr>
    </w:p>
    <w:p>
      <w:pPr>
        <w:pStyle w:val="Heading2"/>
      </w:pPr>
      <w:r>
        <w:t>Review triggers</w:t>
      </w:r>
    </w:p>
    <w:p>
      <w:pPr>
        <w:pStyle w:val="ListBullet"/>
        <w:spacing w:after="40"/>
      </w:pPr>
      <w:r>
        <w:t>Scheduled annual review for durable content.</w:t>
      </w:r>
    </w:p>
    <w:p>
      <w:pPr>
        <w:pStyle w:val="ListBullet"/>
        <w:spacing w:after="40"/>
      </w:pPr>
      <w:r>
        <w:t>Before reuse in a new country, language, institution or statistical domain.</w:t>
      </w:r>
    </w:p>
    <w:p>
      <w:pPr>
        <w:pStyle w:val="ListBullet"/>
        <w:spacing w:after="40"/>
      </w:pPr>
      <w:r>
        <w:t>After a material incident, learner safety concern or recurrent assessment dispute.</w:t>
      </w:r>
    </w:p>
    <w:p>
      <w:pPr>
        <w:pStyle w:val="ListBullet"/>
        <w:spacing w:after="40"/>
      </w:pPr>
      <w:r>
        <w:t>When an authoritative statistical standard or institutional policy changes.</w:t>
      </w:r>
    </w:p>
    <w:p>
      <w:pPr>
        <w:pStyle w:val="ListBullet"/>
        <w:spacing w:after="40"/>
      </w:pPr>
      <w:r>
        <w:t>When the supported tool or data source changes in a way that affects evidence or risk.</w:t>
      </w:r>
    </w:p>
    <w:p>
      <w:pPr>
        <w:pStyle w:val="Heading1"/>
      </w:pPr>
      <w:r>
        <w:t>16 Production workflow and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584"/>
            <w:shd w:fill="17365D"/>
            <w:tcMar>
              <w:top w:w="90" w:type="dxa"/>
              <w:start w:w="90" w:type="dxa"/>
              <w:bottom w:w="90" w:type="dxa"/>
              <w:end w:w="90" w:type="dxa"/>
            </w:tcMar>
            <w:vAlign w:val="center"/>
          </w:tcPr>
          <w:p>
            <w:pPr>
              <w:spacing w:after="0"/>
              <w:jc w:val="center"/>
            </w:pPr>
            <w:r>
              <w:rPr>
                <w:rFonts w:ascii="Aptos" w:hAnsi="Aptos"/>
                <w:b/>
                <w:color w:val="FFFFFF"/>
                <w:sz w:val="15"/>
              </w:rPr>
              <w:t>Stage</w:t>
            </w:r>
          </w:p>
        </w:tc>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Owner</w:t>
            </w:r>
          </w:p>
        </w:tc>
        <w:tc>
          <w:tcPr>
            <w:tcW w:type="dxa" w:w="3312"/>
            <w:shd w:fill="17365D"/>
            <w:tcMar>
              <w:top w:w="90" w:type="dxa"/>
              <w:start w:w="90" w:type="dxa"/>
              <w:bottom w:w="90" w:type="dxa"/>
              <w:end w:w="90" w:type="dxa"/>
            </w:tcMar>
            <w:vAlign w:val="center"/>
          </w:tcPr>
          <w:p>
            <w:pPr>
              <w:spacing w:after="0"/>
              <w:jc w:val="center"/>
            </w:pPr>
            <w:r>
              <w:rPr>
                <w:rFonts w:ascii="Aptos" w:hAnsi="Aptos"/>
                <w:b/>
                <w:color w:val="FFFFFF"/>
                <w:sz w:val="15"/>
              </w:rPr>
              <w:t>Output</w:t>
            </w:r>
          </w:p>
        </w:tc>
        <w:tc>
          <w:tcPr>
            <w:tcW w:type="dxa" w:w="2736"/>
            <w:shd w:fill="17365D"/>
            <w:tcMar>
              <w:top w:w="90" w:type="dxa"/>
              <w:start w:w="90" w:type="dxa"/>
              <w:bottom w:w="90" w:type="dxa"/>
              <w:end w:w="90" w:type="dxa"/>
            </w:tcMar>
            <w:vAlign w:val="center"/>
          </w:tcPr>
          <w:p>
            <w:pPr>
              <w:spacing w:after="0"/>
              <w:jc w:val="center"/>
            </w:pPr>
            <w:r>
              <w:rPr>
                <w:rFonts w:ascii="Aptos" w:hAnsi="Aptos"/>
                <w:b/>
                <w:color w:val="FFFFFF"/>
                <w:sz w:val="15"/>
              </w:rPr>
              <w:t>Exit condition</w:t>
            </w:r>
          </w:p>
        </w:tc>
      </w:tr>
      <w:tr>
        <w:tc>
          <w:tcPr>
            <w:tcW w:type="dxa" w:w="1584"/>
            <w:tcMar>
              <w:top w:w="90" w:type="dxa"/>
              <w:start w:w="90" w:type="dxa"/>
              <w:bottom w:w="90" w:type="dxa"/>
              <w:end w:w="90" w:type="dxa"/>
            </w:tcMar>
            <w:vAlign w:val="center"/>
          </w:tcPr>
          <w:p>
            <w:pPr>
              <w:spacing w:after="0" w:line="240" w:lineRule="auto"/>
            </w:pPr>
            <w:r>
              <w:rPr>
                <w:rFonts w:ascii="Aptos" w:hAnsi="Aptos"/>
                <w:color w:val="000000"/>
                <w:sz w:val="15"/>
              </w:rPr>
              <w:t>1 Commission</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Programme lead</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5"/>
              </w:rPr>
              <w:t>Approved module brief and resources.</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5"/>
              </w:rPr>
              <w:t>Need, audience and Phase 2A link confirmed.</w:t>
            </w:r>
          </w:p>
        </w:tc>
      </w:tr>
      <w:tr>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5"/>
              </w:rPr>
              <w:t>2 Design</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Instructional and subject team</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5"/>
              </w:rPr>
              <w:t>Specification, sequence and exercise design.</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5"/>
              </w:rPr>
              <w:t>Design review passed.</w:t>
            </w:r>
          </w:p>
        </w:tc>
      </w:tr>
      <w:tr>
        <w:tc>
          <w:tcPr>
            <w:tcW w:type="dxa" w:w="1584"/>
            <w:tcMar>
              <w:top w:w="90" w:type="dxa"/>
              <w:start w:w="90" w:type="dxa"/>
              <w:bottom w:w="90" w:type="dxa"/>
              <w:end w:w="90" w:type="dxa"/>
            </w:tcMar>
            <w:vAlign w:val="center"/>
          </w:tcPr>
          <w:p>
            <w:pPr>
              <w:spacing w:after="0" w:line="240" w:lineRule="auto"/>
            </w:pPr>
            <w:r>
              <w:rPr>
                <w:rFonts w:ascii="Aptos" w:hAnsi="Aptos"/>
                <w:color w:val="000000"/>
                <w:sz w:val="15"/>
              </w:rPr>
              <w:t>3 Build</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Content, data and technical team</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5"/>
              </w:rPr>
              <w:t>Complete draft package.</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5"/>
              </w:rPr>
              <w:t>All M01–M10 components present.</w:t>
            </w:r>
          </w:p>
        </w:tc>
      </w:tr>
      <w:tr>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5"/>
              </w:rPr>
              <w:t>4 Validate</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Independent reviewers</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5"/>
              </w:rPr>
              <w:t>Statistical, technical, safety and assessment findings.</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5"/>
              </w:rPr>
              <w:t>Critical defects closed.</w:t>
            </w:r>
          </w:p>
        </w:tc>
      </w:tr>
      <w:tr>
        <w:tc>
          <w:tcPr>
            <w:tcW w:type="dxa" w:w="1584"/>
            <w:tcMar>
              <w:top w:w="90" w:type="dxa"/>
              <w:start w:w="90" w:type="dxa"/>
              <w:bottom w:w="90" w:type="dxa"/>
              <w:end w:w="90" w:type="dxa"/>
            </w:tcMar>
            <w:vAlign w:val="center"/>
          </w:tcPr>
          <w:p>
            <w:pPr>
              <w:spacing w:after="0" w:line="240" w:lineRule="auto"/>
            </w:pPr>
            <w:r>
              <w:rPr>
                <w:rFonts w:ascii="Aptos" w:hAnsi="Aptos"/>
                <w:color w:val="000000"/>
                <w:sz w:val="15"/>
              </w:rPr>
              <w:t>5 Pilot</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Facilitator and representative learners</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5"/>
              </w:rPr>
              <w:t>Observation, scores and revision log.</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5"/>
              </w:rPr>
              <w:t>Acceptance signals met.</w:t>
            </w:r>
          </w:p>
        </w:tc>
      </w:tr>
      <w:tr>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5"/>
              </w:rPr>
              <w:t>6 Release</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Product owner</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5"/>
              </w:rPr>
              <w:t>Controlled version and publication files.</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5"/>
              </w:rPr>
              <w:t>Approvals and review date recorded.</w:t>
            </w:r>
          </w:p>
        </w:tc>
      </w:tr>
      <w:tr>
        <w:tc>
          <w:tcPr>
            <w:tcW w:type="dxa" w:w="1584"/>
            <w:tcMar>
              <w:top w:w="90" w:type="dxa"/>
              <w:start w:w="90" w:type="dxa"/>
              <w:bottom w:w="90" w:type="dxa"/>
              <w:end w:w="90" w:type="dxa"/>
            </w:tcMar>
            <w:vAlign w:val="center"/>
          </w:tcPr>
          <w:p>
            <w:pPr>
              <w:spacing w:after="0" w:line="240" w:lineRule="auto"/>
            </w:pPr>
            <w:r>
              <w:rPr>
                <w:rFonts w:ascii="Aptos" w:hAnsi="Aptos"/>
                <w:color w:val="000000"/>
                <w:sz w:val="15"/>
              </w:rPr>
              <w:t>7 Monitor</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Programme and institutional owners</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5"/>
              </w:rPr>
              <w:t>Use, quality, incidents and transfer evidence.</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5"/>
              </w:rPr>
              <w:t>Continue, revise, restrict or retire decision.</w:t>
            </w:r>
          </w:p>
        </w:tc>
      </w:tr>
    </w:tbl>
    <w:p>
      <w:pPr>
        <w:spacing w:after="20"/>
      </w:pPr>
    </w:p>
    <w:p>
      <w:pPr>
        <w:pStyle w:val="Heading2"/>
      </w:pPr>
      <w:r>
        <w:t>Immediate application</w:t>
      </w:r>
    </w:p>
    <w:p>
      <w:r>
        <w:t>Apply this standard first to Block A1, The national information ecosystem, and then to Block B1, Information retrieval and synthesis. Build the agriculture laboratory only after the first reference module proves that the templates, validation and assessment process work in practice.</w:t>
      </w:r>
    </w:p>
    <w:p>
      <w:pPr>
        <w:pStyle w:val="Heading2"/>
      </w:pPr>
      <w:r>
        <w:t>Final production rule</w:t>
      </w:r>
    </w:p>
    <w:p>
      <w:r>
        <w:t>No module enters routine delivery until a qualified person other than its principal author can deliver it, reproduce its key outputs, apply its assessment rubric and identify its safety boundaries using only the released package.</w:t>
      </w:r>
    </w:p>
    <w:sectPr w:rsidR="00FC693F" w:rsidRPr="0006063C" w:rsidSect="00034616">
      <w:footerReference w:type="default" r:id="rId9"/>
      <w:pgSz w:w="12240" w:h="15840"/>
      <w:pgMar w:top="979" w:right="1008"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Phase 2B production standard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2B Module and Laboratory Production Standard</dc:title>
  <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