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7791F"/>
          <w:sz w:val="22"/>
        </w:rPr>
        <w:t>EXECUTIVE BRIEF</w:t>
      </w:r>
    </w:p>
    <w:p>
      <w:pPr>
        <w:pStyle w:val="Title"/>
      </w:pPr>
      <w:r>
        <w:t>From Precise Numbers to Defensible Decisions</w:t>
      </w:r>
    </w:p>
    <w:p>
      <w:pPr>
        <w:pStyle w:val="Subtitle"/>
      </w:pPr>
      <w:r>
        <w:t>Mathematical thinking and reproducible computation for leaders using statistics and artificial intelligence</w:t>
      </w:r>
    </w:p>
    <w:tbl>
      <w:tblPr>
        <w:tblStyle w:val="TableGrid"/>
        <w:tblW w:type="dxa" w:w="9360"/>
        <w:tblLayout w:type="fixed"/>
        <w:tblLook w:firstColumn="1" w:firstRow="1" w:lastColumn="0" w:lastRow="0" w:noHBand="0" w:noVBand="1" w:val="04A0"/>
        <w:tblInd w:w="120" w:type="dxa"/>
      </w:tblPr>
      <w:tblGrid>
        <w:gridCol w:w="2200"/>
        <w:gridCol w:w="7160"/>
      </w:tblGrid>
      <w:tr>
        <w:trPr>
          <w:tblHeader/>
        </w:trPr>
        <w:tc>
          <w:tcPr>
            <w:tcW w:type="dxa" w:w="2200"/>
            <w:shd w:fill="2F75B5"/>
            <w:tcMar>
              <w:top w:w="100" w:type="dxa"/>
              <w:start w:w="140" w:type="dxa"/>
              <w:bottom w:w="100" w:type="dxa"/>
              <w:end w:w="140" w:type="dxa"/>
            </w:tcMar>
            <w:vAlign w:val="center"/>
          </w:tcPr>
          <w:p>
            <w:r>
              <w:rPr>
                <w:b/>
                <w:color w:val="FFFFFF"/>
                <w:sz w:val="20"/>
              </w:rPr>
              <w:t>Control</w:t>
            </w:r>
          </w:p>
        </w:tc>
        <w:tc>
          <w:tcPr>
            <w:tcW w:type="dxa" w:w="7160"/>
            <w:shd w:fill="2F75B5"/>
            <w:tcMar>
              <w:top w:w="100" w:type="dxa"/>
              <w:start w:w="140" w:type="dxa"/>
              <w:bottom w:w="100" w:type="dxa"/>
              <w:end w:w="140" w:type="dxa"/>
            </w:tcMar>
            <w:vAlign w:val="center"/>
          </w:tcPr>
          <w:p>
            <w:r>
              <w:rPr>
                <w:b/>
                <w:color w:val="FFFFFF"/>
                <w:sz w:val="20"/>
              </w:rPr>
              <w:t>Value</w:t>
            </w:r>
          </w:p>
        </w:tc>
      </w:tr>
      <w:tr>
        <w:tc>
          <w:tcPr>
            <w:tcW w:type="dxa" w:w="2200"/>
            <w:tcMar>
              <w:top w:w="100" w:type="dxa"/>
              <w:start w:w="140" w:type="dxa"/>
              <w:bottom w:w="100" w:type="dxa"/>
              <w:end w:w="140" w:type="dxa"/>
            </w:tcMar>
            <w:vAlign w:val="center"/>
          </w:tcPr>
          <w:p>
            <w:pPr>
              <w:spacing w:after="40" w:line="252" w:lineRule="auto"/>
            </w:pPr>
            <w:r>
              <w:rPr>
                <w:sz w:val="19"/>
              </w:rPr>
              <w:t>Production Unit</w:t>
            </w:r>
          </w:p>
        </w:tc>
        <w:tc>
          <w:tcPr>
            <w:tcW w:type="dxa" w:w="7160"/>
            <w:tcMar>
              <w:top w:w="100" w:type="dxa"/>
              <w:start w:w="140" w:type="dxa"/>
              <w:bottom w:w="100" w:type="dxa"/>
              <w:end w:w="140" w:type="dxa"/>
            </w:tcMar>
            <w:vAlign w:val="center"/>
          </w:tcPr>
          <w:p>
            <w:pPr>
              <w:spacing w:after="40" w:line="252" w:lineRule="auto"/>
            </w:pPr>
            <w:r>
              <w:rPr>
                <w:sz w:val="19"/>
              </w:rPr>
              <w:t>PU-B01-C01 — Mathematical Thinking and Reproducible Computation</w:t>
            </w:r>
          </w:p>
        </w:tc>
      </w:tr>
      <w:tr>
        <w:tc>
          <w:tcPr>
            <w:tcW w:type="dxa" w:w="2200"/>
            <w:tcMar>
              <w:top w:w="100" w:type="dxa"/>
              <w:start w:w="140" w:type="dxa"/>
              <w:bottom w:w="100" w:type="dxa"/>
              <w:end w:w="140" w:type="dxa"/>
            </w:tcMar>
            <w:vAlign w:val="center"/>
          </w:tcPr>
          <w:p>
            <w:pPr>
              <w:spacing w:after="40" w:line="252" w:lineRule="auto"/>
            </w:pPr>
            <w:r>
              <w:rPr>
                <w:sz w:val="19"/>
              </w:rPr>
              <w:t>Series</w:t>
            </w:r>
          </w:p>
        </w:tc>
        <w:tc>
          <w:tcPr>
            <w:tcW w:type="dxa" w:w="7160"/>
            <w:tcMar>
              <w:top w:w="100" w:type="dxa"/>
              <w:start w:w="140" w:type="dxa"/>
              <w:bottom w:w="100" w:type="dxa"/>
              <w:end w:w="140" w:type="dxa"/>
            </w:tcMar>
            <w:vAlign w:val="center"/>
          </w:tcPr>
          <w:p>
            <w:pPr>
              <w:spacing w:after="40" w:line="252" w:lineRule="auto"/>
            </w:pPr>
            <w:r>
              <w:rPr>
                <w:sz w:val="19"/>
              </w:rPr>
              <w:t>SRAI Book 1 — Mathematical Foundations</w:t>
            </w:r>
          </w:p>
        </w:tc>
      </w:tr>
      <w:tr>
        <w:tc>
          <w:tcPr>
            <w:tcW w:type="dxa" w:w="2200"/>
            <w:tcMar>
              <w:top w:w="100" w:type="dxa"/>
              <w:start w:w="140" w:type="dxa"/>
              <w:bottom w:w="100" w:type="dxa"/>
              <w:end w:w="140" w:type="dxa"/>
            </w:tcMar>
            <w:vAlign w:val="center"/>
          </w:tcPr>
          <w:p>
            <w:pPr>
              <w:spacing w:after="40" w:line="252" w:lineRule="auto"/>
            </w:pPr>
            <w:r>
              <w:rPr>
                <w:sz w:val="19"/>
              </w:rPr>
              <w:t>Audience</w:t>
            </w:r>
          </w:p>
        </w:tc>
        <w:tc>
          <w:tcPr>
            <w:tcW w:type="dxa" w:w="7160"/>
            <w:tcMar>
              <w:top w:w="100" w:type="dxa"/>
              <w:start w:w="140" w:type="dxa"/>
              <w:bottom w:w="100" w:type="dxa"/>
              <w:end w:w="140" w:type="dxa"/>
            </w:tcMar>
            <w:vAlign w:val="center"/>
          </w:tcPr>
          <w:p>
            <w:pPr>
              <w:spacing w:after="40" w:line="252" w:lineRule="auto"/>
            </w:pPr>
            <w:r>
              <w:rPr>
                <w:sz w:val="19"/>
              </w:rPr>
              <w:t>Executives, policy leaders, programme directors and analytical managers</w:t>
            </w:r>
          </w:p>
        </w:tc>
      </w:tr>
      <w:tr>
        <w:tc>
          <w:tcPr>
            <w:tcW w:type="dxa" w:w="2200"/>
            <w:tcMar>
              <w:top w:w="100" w:type="dxa"/>
              <w:start w:w="140" w:type="dxa"/>
              <w:bottom w:w="100" w:type="dxa"/>
              <w:end w:w="140" w:type="dxa"/>
            </w:tcMar>
            <w:vAlign w:val="center"/>
          </w:tcPr>
          <w:p>
            <w:pPr>
              <w:spacing w:after="40" w:line="252" w:lineRule="auto"/>
            </w:pPr>
            <w:r>
              <w:rPr>
                <w:sz w:val="19"/>
              </w:rPr>
              <w:t>Evidence base</w:t>
            </w:r>
          </w:p>
        </w:tc>
        <w:tc>
          <w:tcPr>
            <w:tcW w:type="dxa" w:w="7160"/>
            <w:tcMar>
              <w:top w:w="100" w:type="dxa"/>
              <w:start w:w="140" w:type="dxa"/>
              <w:bottom w:w="100" w:type="dxa"/>
              <w:end w:w="140" w:type="dxa"/>
            </w:tcMar>
            <w:vAlign w:val="center"/>
          </w:tcPr>
          <w:p>
            <w:pPr>
              <w:spacing w:after="40" w:line="252" w:lineRule="auto"/>
            </w:pPr>
            <w:r>
              <w:rPr>
                <w:sz w:val="19"/>
              </w:rPr>
              <w:t>Controlled Chapter 1 and validated notebook M1_N01</w:t>
            </w:r>
          </w:p>
        </w:tc>
      </w:tr>
      <w:tr>
        <w:tc>
          <w:tcPr>
            <w:tcW w:type="dxa" w:w="2200"/>
            <w:tcMar>
              <w:top w:w="100" w:type="dxa"/>
              <w:start w:w="140" w:type="dxa"/>
              <w:bottom w:w="100" w:type="dxa"/>
              <w:end w:w="140" w:type="dxa"/>
            </w:tcMar>
            <w:vAlign w:val="center"/>
          </w:tcPr>
          <w:p>
            <w:pPr>
              <w:spacing w:after="40" w:line="252" w:lineRule="auto"/>
            </w:pPr>
            <w:r>
              <w:rPr>
                <w:sz w:val="19"/>
              </w:rPr>
              <w:t>Status</w:t>
            </w:r>
          </w:p>
        </w:tc>
        <w:tc>
          <w:tcPr>
            <w:tcW w:type="dxa" w:w="7160"/>
            <w:tcMar>
              <w:top w:w="100" w:type="dxa"/>
              <w:start w:w="140" w:type="dxa"/>
              <w:bottom w:w="100" w:type="dxa"/>
              <w:end w:w="140" w:type="dxa"/>
            </w:tcMar>
            <w:vAlign w:val="center"/>
          </w:tcPr>
          <w:p>
            <w:pPr>
              <w:spacing w:after="40" w:line="252" w:lineRule="auto"/>
            </w:pPr>
            <w:r>
              <w:rPr>
                <w:sz w:val="19"/>
              </w:rPr>
              <w:t>Draft executive asset for owner review</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shd w:fill="EEF4FB"/>
            <w:tcMar>
              <w:top w:w="100" w:type="dxa"/>
              <w:start w:w="140" w:type="dxa"/>
              <w:bottom w:w="100" w:type="dxa"/>
              <w:end w:w="140" w:type="dxa"/>
            </w:tcMar>
            <w:vAlign w:val="center"/>
          </w:tcPr>
          <w:p>
            <w:pPr>
              <w:spacing w:after="0"/>
            </w:pPr>
            <w:r>
              <w:rPr>
                <w:b/>
                <w:color w:val="17365D"/>
              </w:rPr>
              <w:t xml:space="preserve">Executive takeaway  </w:t>
            </w:r>
            <w:r>
              <w:t>A numerical result becomes decision evidence only when its representation, assumptions, data, computation, verification, limitations and consequences can be explained and reproduced.</w:t>
            </w:r>
          </w:p>
        </w:tc>
      </w:tr>
    </w:tbl>
    <w:p>
      <w:pPr>
        <w:spacing w:after="20"/>
      </w:pPr>
    </w:p>
    <w:p>
      <w:pPr>
        <w:pStyle w:val="Heading1"/>
      </w:pPr>
      <w:r>
        <w:t>The leadership problem</w:t>
      </w:r>
    </w:p>
    <w:p>
      <w:r>
        <w:t>Modern institutions can generate forecasts, risk scores and optimization results faster than they can evaluate them. Precision, dashboards and AI-generated explanations create an appearance of certainty, but the central leadership question remains: is the result connected to reality through a defensible chain of evidence?</w:t>
      </w:r>
    </w:p>
    <w:p>
      <w:r>
        <w:t>Chapter 1 illustrates the danger through an agricultural production forecast reporting an 8 percent increase. The number circulated, but the random seed was missing, an input file had changed, districts were excluded without explanation, units were inconsistent and model assumptions were undocumented. The number survived; its evidential foundation did not.</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100" w:type="dxa"/>
              <w:start w:w="140" w:type="dxa"/>
              <w:bottom w:w="100" w:type="dxa"/>
              <w:end w:w="140" w:type="dxa"/>
            </w:tcMar>
            <w:vAlign w:val="center"/>
          </w:tcPr>
          <w:p>
            <w:pPr>
              <w:spacing w:after="0"/>
            </w:pPr>
            <w:r>
              <w:rPr>
                <w:b/>
                <w:color w:val="17365D"/>
              </w:rPr>
              <w:t xml:space="preserve">Decision risk  </w:t>
            </w:r>
            <w:r>
              <w:t>When reproducibility and validation are absent, leaders may commit budgets, imports, staffing, infrastructure or public communication to a result that cannot withstand scrutiny.</w:t>
            </w:r>
          </w:p>
        </w:tc>
      </w:tr>
    </w:tbl>
    <w:p>
      <w:pPr>
        <w:spacing w:after="20"/>
      </w:pPr>
    </w:p>
    <w:p>
      <w:pPr>
        <w:pStyle w:val="Heading2"/>
      </w:pPr>
      <w:r>
        <w:t>What leaders should require now</w:t>
      </w:r>
    </w:p>
    <w:p>
      <w:pPr>
        <w:pStyle w:val="ListBullet"/>
      </w:pPr>
      <w:r>
        <w:t>A clear statement of the real decision and the population or system concerned.</w:t>
      </w:r>
    </w:p>
    <w:p>
      <w:pPr>
        <w:pStyle w:val="ListBullet"/>
      </w:pPr>
      <w:r>
        <w:t>Documented variables, assumptions, objectives, constraints and excluded factors.</w:t>
      </w:r>
    </w:p>
    <w:p>
      <w:pPr>
        <w:pStyle w:val="ListBullet"/>
      </w:pPr>
      <w:r>
        <w:t>Reproducible data, code, parameters, versions and random seeds.</w:t>
      </w:r>
    </w:p>
    <w:p>
      <w:pPr>
        <w:pStyle w:val="ListBullet"/>
      </w:pPr>
      <w:r>
        <w:t>Separate evidence that the calculation is correct from evidence that the model is adequate.</w:t>
      </w:r>
    </w:p>
    <w:p>
      <w:pPr>
        <w:pStyle w:val="ListBullet"/>
      </w:pPr>
      <w:r>
        <w:t>An explicit account of uncertainty, failure modes, distributional effects and implementation constraints.</w:t>
      </w:r>
    </w:p>
    <w:p>
      <w:pPr>
        <w:pStyle w:val="Heading1"/>
      </w:pPr>
      <w:r>
        <w:t>The SRAI theory-to-decision chain</w:t>
      </w:r>
    </w:p>
    <w:p>
      <w:r>
        <w:t>SRAI treats quantitative analysis as a sequence of intellectual responsibilities rather than a single model run.</w:t>
      </w:r>
    </w:p>
    <w:tbl>
      <w:tblPr>
        <w:tblStyle w:val="TableGrid"/>
        <w:tblW w:type="dxa" w:w="9360"/>
        <w:tblLayout w:type="fixed"/>
        <w:tblLook w:firstColumn="1" w:firstRow="1" w:lastColumn="0" w:lastRow="0" w:noHBand="0" w:noVBand="1" w:val="04A0"/>
        <w:tblInd w:w="120" w:type="dxa"/>
      </w:tblPr>
      <w:tblGrid>
        <w:gridCol w:w="1900"/>
        <w:gridCol w:w="7460"/>
      </w:tblGrid>
      <w:tr>
        <w:trPr>
          <w:tblHeader/>
        </w:trPr>
        <w:tc>
          <w:tcPr>
            <w:tcW w:type="dxa" w:w="1900"/>
            <w:shd w:fill="2F75B5"/>
            <w:tcMar>
              <w:top w:w="100" w:type="dxa"/>
              <w:start w:w="140" w:type="dxa"/>
              <w:bottom w:w="100" w:type="dxa"/>
              <w:end w:w="140" w:type="dxa"/>
            </w:tcMar>
            <w:vAlign w:val="center"/>
          </w:tcPr>
          <w:p>
            <w:r>
              <w:rPr>
                <w:b/>
                <w:color w:val="FFFFFF"/>
                <w:sz w:val="20"/>
              </w:rPr>
              <w:t>Stage</w:t>
            </w:r>
          </w:p>
        </w:tc>
        <w:tc>
          <w:tcPr>
            <w:tcW w:type="dxa" w:w="7460"/>
            <w:shd w:fill="2F75B5"/>
            <w:tcMar>
              <w:top w:w="100" w:type="dxa"/>
              <w:start w:w="140" w:type="dxa"/>
              <w:bottom w:w="100" w:type="dxa"/>
              <w:end w:w="140" w:type="dxa"/>
            </w:tcMar>
            <w:vAlign w:val="center"/>
          </w:tcPr>
          <w:p>
            <w:r>
              <w:rPr>
                <w:b/>
                <w:color w:val="FFFFFF"/>
                <w:sz w:val="20"/>
              </w:rPr>
              <w:t>Executive control question</w:t>
            </w:r>
          </w:p>
        </w:tc>
      </w:tr>
      <w:tr>
        <w:tc>
          <w:tcPr>
            <w:tcW w:type="dxa" w:w="1900"/>
            <w:tcMar>
              <w:top w:w="100" w:type="dxa"/>
              <w:start w:w="140" w:type="dxa"/>
              <w:bottom w:w="100" w:type="dxa"/>
              <w:end w:w="140" w:type="dxa"/>
            </w:tcMar>
            <w:vAlign w:val="center"/>
          </w:tcPr>
          <w:p>
            <w:pPr>
              <w:spacing w:after="40" w:line="252" w:lineRule="auto"/>
            </w:pPr>
            <w:r>
              <w:rPr>
                <w:sz w:val="19"/>
              </w:rPr>
              <w:t>Reality</w:t>
            </w:r>
          </w:p>
        </w:tc>
        <w:tc>
          <w:tcPr>
            <w:tcW w:type="dxa" w:w="7460"/>
            <w:tcMar>
              <w:top w:w="100" w:type="dxa"/>
              <w:start w:w="140" w:type="dxa"/>
              <w:bottom w:w="100" w:type="dxa"/>
              <w:end w:w="140" w:type="dxa"/>
            </w:tcMar>
            <w:vAlign w:val="center"/>
          </w:tcPr>
          <w:p>
            <w:pPr>
              <w:spacing w:after="40" w:line="252" w:lineRule="auto"/>
            </w:pPr>
            <w:r>
              <w:rPr>
                <w:sz w:val="19"/>
              </w:rPr>
              <w:t>What real system, population or decision are we trying to understand?</w:t>
            </w:r>
          </w:p>
        </w:tc>
      </w:tr>
      <w:tr>
        <w:tc>
          <w:tcPr>
            <w:tcW w:type="dxa" w:w="1900"/>
            <w:tcMar>
              <w:top w:w="100" w:type="dxa"/>
              <w:start w:w="140" w:type="dxa"/>
              <w:bottom w:w="100" w:type="dxa"/>
              <w:end w:w="140" w:type="dxa"/>
            </w:tcMar>
            <w:vAlign w:val="center"/>
          </w:tcPr>
          <w:p>
            <w:pPr>
              <w:spacing w:after="40" w:line="252" w:lineRule="auto"/>
            </w:pPr>
            <w:r>
              <w:rPr>
                <w:sz w:val="19"/>
              </w:rPr>
              <w:t>Abstraction</w:t>
            </w:r>
          </w:p>
        </w:tc>
        <w:tc>
          <w:tcPr>
            <w:tcW w:type="dxa" w:w="7460"/>
            <w:tcMar>
              <w:top w:w="100" w:type="dxa"/>
              <w:start w:w="140" w:type="dxa"/>
              <w:bottom w:w="100" w:type="dxa"/>
              <w:end w:w="140" w:type="dxa"/>
            </w:tcMar>
            <w:vAlign w:val="center"/>
          </w:tcPr>
          <w:p>
            <w:pPr>
              <w:spacing w:after="40" w:line="252" w:lineRule="auto"/>
            </w:pPr>
            <w:r>
              <w:rPr>
                <w:sz w:val="19"/>
              </w:rPr>
              <w:t>What aspects matter, and what has been deliberately omitted?</w:t>
            </w:r>
          </w:p>
        </w:tc>
      </w:tr>
      <w:tr>
        <w:tc>
          <w:tcPr>
            <w:tcW w:type="dxa" w:w="1900"/>
            <w:tcMar>
              <w:top w:w="100" w:type="dxa"/>
              <w:start w:w="140" w:type="dxa"/>
              <w:bottom w:w="100" w:type="dxa"/>
              <w:end w:w="140" w:type="dxa"/>
            </w:tcMar>
            <w:vAlign w:val="center"/>
          </w:tcPr>
          <w:p>
            <w:pPr>
              <w:spacing w:after="40" w:line="252" w:lineRule="auto"/>
            </w:pPr>
            <w:r>
              <w:rPr>
                <w:sz w:val="19"/>
              </w:rPr>
              <w:t>Model</w:t>
            </w:r>
          </w:p>
        </w:tc>
        <w:tc>
          <w:tcPr>
            <w:tcW w:type="dxa" w:w="7460"/>
            <w:tcMar>
              <w:top w:w="100" w:type="dxa"/>
              <w:start w:w="140" w:type="dxa"/>
              <w:bottom w:w="100" w:type="dxa"/>
              <w:end w:w="140" w:type="dxa"/>
            </w:tcMar>
            <w:vAlign w:val="center"/>
          </w:tcPr>
          <w:p>
            <w:pPr>
              <w:spacing w:after="40" w:line="252" w:lineRule="auto"/>
            </w:pPr>
            <w:r>
              <w:rPr>
                <w:sz w:val="19"/>
              </w:rPr>
              <w:t>Which variables, relationships, assumptions, objectives and constraints represent the problem?</w:t>
            </w:r>
          </w:p>
        </w:tc>
      </w:tr>
      <w:tr>
        <w:tc>
          <w:tcPr>
            <w:tcW w:type="dxa" w:w="1900"/>
            <w:tcMar>
              <w:top w:w="100" w:type="dxa"/>
              <w:start w:w="140" w:type="dxa"/>
              <w:bottom w:w="100" w:type="dxa"/>
              <w:end w:w="140" w:type="dxa"/>
            </w:tcMar>
            <w:vAlign w:val="center"/>
          </w:tcPr>
          <w:p>
            <w:pPr>
              <w:spacing w:after="40" w:line="252" w:lineRule="auto"/>
            </w:pPr>
            <w:r>
              <w:rPr>
                <w:sz w:val="19"/>
              </w:rPr>
              <w:t>Algorithm</w:t>
            </w:r>
          </w:p>
        </w:tc>
        <w:tc>
          <w:tcPr>
            <w:tcW w:type="dxa" w:w="7460"/>
            <w:tcMar>
              <w:top w:w="100" w:type="dxa"/>
              <w:start w:w="140" w:type="dxa"/>
              <w:bottom w:w="100" w:type="dxa"/>
              <w:end w:w="140" w:type="dxa"/>
            </w:tcMar>
            <w:vAlign w:val="center"/>
          </w:tcPr>
          <w:p>
            <w:pPr>
              <w:spacing w:after="40" w:line="252" w:lineRule="auto"/>
            </w:pPr>
            <w:r>
              <w:rPr>
                <w:sz w:val="19"/>
              </w:rPr>
              <w:t>What finite procedure converts the model into a result?</w:t>
            </w:r>
          </w:p>
        </w:tc>
      </w:tr>
      <w:tr>
        <w:tc>
          <w:tcPr>
            <w:tcW w:type="dxa" w:w="1900"/>
            <w:tcMar>
              <w:top w:w="100" w:type="dxa"/>
              <w:start w:w="140" w:type="dxa"/>
              <w:bottom w:w="100" w:type="dxa"/>
              <w:end w:w="140" w:type="dxa"/>
            </w:tcMar>
            <w:vAlign w:val="center"/>
          </w:tcPr>
          <w:p>
            <w:pPr>
              <w:spacing w:after="40" w:line="252" w:lineRule="auto"/>
            </w:pPr>
            <w:r>
              <w:rPr>
                <w:sz w:val="19"/>
              </w:rPr>
              <w:t>Python / implementation</w:t>
            </w:r>
          </w:p>
        </w:tc>
        <w:tc>
          <w:tcPr>
            <w:tcW w:type="dxa" w:w="7460"/>
            <w:tcMar>
              <w:top w:w="100" w:type="dxa"/>
              <w:start w:w="140" w:type="dxa"/>
              <w:bottom w:w="100" w:type="dxa"/>
              <w:end w:w="140" w:type="dxa"/>
            </w:tcMar>
            <w:vAlign w:val="center"/>
          </w:tcPr>
          <w:p>
            <w:pPr>
              <w:spacing w:after="40" w:line="252" w:lineRule="auto"/>
            </w:pPr>
            <w:r>
              <w:rPr>
                <w:sz w:val="19"/>
              </w:rPr>
              <w:t>Can the procedure be executed consistently in a controlled environment?</w:t>
            </w:r>
          </w:p>
        </w:tc>
      </w:tr>
      <w:tr>
        <w:tc>
          <w:tcPr>
            <w:tcW w:type="dxa" w:w="1900"/>
            <w:tcMar>
              <w:top w:w="100" w:type="dxa"/>
              <w:start w:w="140" w:type="dxa"/>
              <w:bottom w:w="100" w:type="dxa"/>
              <w:end w:w="140" w:type="dxa"/>
            </w:tcMar>
            <w:vAlign w:val="center"/>
          </w:tcPr>
          <w:p>
            <w:pPr>
              <w:spacing w:after="40" w:line="252" w:lineRule="auto"/>
            </w:pPr>
            <w:r>
              <w:rPr>
                <w:sz w:val="19"/>
              </w:rPr>
              <w:t>Verification</w:t>
            </w:r>
          </w:p>
        </w:tc>
        <w:tc>
          <w:tcPr>
            <w:tcW w:type="dxa" w:w="7460"/>
            <w:tcMar>
              <w:top w:w="100" w:type="dxa"/>
              <w:start w:w="140" w:type="dxa"/>
              <w:bottom w:w="100" w:type="dxa"/>
              <w:end w:w="140" w:type="dxa"/>
            </w:tcMar>
            <w:vAlign w:val="center"/>
          </w:tcPr>
          <w:p>
            <w:pPr>
              <w:spacing w:after="40" w:line="252" w:lineRule="auto"/>
            </w:pPr>
            <w:r>
              <w:rPr>
                <w:sz w:val="19"/>
              </w:rPr>
              <w:t>Did we implement and solve the intended model correctly?</w:t>
            </w:r>
          </w:p>
        </w:tc>
      </w:tr>
      <w:tr>
        <w:tc>
          <w:tcPr>
            <w:tcW w:type="dxa" w:w="1900"/>
            <w:tcMar>
              <w:top w:w="100" w:type="dxa"/>
              <w:start w:w="140" w:type="dxa"/>
              <w:bottom w:w="100" w:type="dxa"/>
              <w:end w:w="140" w:type="dxa"/>
            </w:tcMar>
            <w:vAlign w:val="center"/>
          </w:tcPr>
          <w:p>
            <w:pPr>
              <w:spacing w:after="40" w:line="252" w:lineRule="auto"/>
            </w:pPr>
            <w:r>
              <w:rPr>
                <w:sz w:val="19"/>
              </w:rPr>
              <w:t>Interpretation</w:t>
            </w:r>
          </w:p>
        </w:tc>
        <w:tc>
          <w:tcPr>
            <w:tcW w:type="dxa" w:w="7460"/>
            <w:tcMar>
              <w:top w:w="100" w:type="dxa"/>
              <w:start w:w="140" w:type="dxa"/>
              <w:bottom w:w="100" w:type="dxa"/>
              <w:end w:w="140" w:type="dxa"/>
            </w:tcMar>
            <w:vAlign w:val="center"/>
          </w:tcPr>
          <w:p>
            <w:pPr>
              <w:spacing w:after="40" w:line="252" w:lineRule="auto"/>
            </w:pPr>
            <w:r>
              <w:rPr>
                <w:sz w:val="19"/>
              </w:rPr>
              <w:t>What does the output mean—and what does it not mean?</w:t>
            </w:r>
          </w:p>
        </w:tc>
      </w:tr>
      <w:tr>
        <w:tc>
          <w:tcPr>
            <w:tcW w:type="dxa" w:w="1900"/>
            <w:tcMar>
              <w:top w:w="100" w:type="dxa"/>
              <w:start w:w="140" w:type="dxa"/>
              <w:bottom w:w="100" w:type="dxa"/>
              <w:end w:w="140" w:type="dxa"/>
            </w:tcMar>
            <w:vAlign w:val="center"/>
          </w:tcPr>
          <w:p>
            <w:pPr>
              <w:spacing w:after="40" w:line="252" w:lineRule="auto"/>
            </w:pPr>
            <w:r>
              <w:rPr>
                <w:sz w:val="19"/>
              </w:rPr>
              <w:t>Decision</w:t>
            </w:r>
          </w:p>
        </w:tc>
        <w:tc>
          <w:tcPr>
            <w:tcW w:type="dxa" w:w="7460"/>
            <w:tcMar>
              <w:top w:w="100" w:type="dxa"/>
              <w:start w:w="140" w:type="dxa"/>
              <w:bottom w:w="100" w:type="dxa"/>
              <w:end w:w="140" w:type="dxa"/>
            </w:tcMar>
            <w:vAlign w:val="center"/>
          </w:tcPr>
          <w:p>
            <w:pPr>
              <w:spacing w:after="40" w:line="252" w:lineRule="auto"/>
            </w:pPr>
            <w:r>
              <w:rPr>
                <w:sz w:val="19"/>
              </w:rPr>
              <w:t>How should evidence, context, costs, risks and human responsibility be combined?</w:t>
            </w:r>
          </w:p>
        </w:tc>
      </w:tr>
    </w:tbl>
    <w:p>
      <w:pPr>
        <w:spacing w:after="20"/>
      </w:pPr>
    </w:p>
    <w:tbl>
      <w:tblPr>
        <w:tblW w:type="dxa" w:w="9360"/>
        <w:tblLayout w:type="fixed"/>
        <w:tblLook w:firstColumn="1" w:firstRow="1" w:lastColumn="0" w:lastRow="0" w:noHBand="0" w:noVBand="1" w:val="04A0"/>
        <w:tblInd w:w="120" w:type="dxa"/>
      </w:tblPr>
      <w:tblGrid>
        <w:gridCol w:w="9360"/>
      </w:tblGrid>
      <w:tr>
        <w:tc>
          <w:tcPr>
            <w:tcW w:type="dxa" w:w="9360"/>
            <w:shd w:fill="EEF4FB"/>
            <w:tcMar>
              <w:top w:w="100" w:type="dxa"/>
              <w:start w:w="140" w:type="dxa"/>
              <w:bottom w:w="100" w:type="dxa"/>
              <w:end w:w="140" w:type="dxa"/>
            </w:tcMar>
            <w:vAlign w:val="center"/>
          </w:tcPr>
          <w:p>
            <w:pPr>
              <w:spacing w:after="0"/>
            </w:pPr>
            <w:r>
              <w:rPr>
                <w:b/>
                <w:color w:val="17365D"/>
              </w:rPr>
              <w:t xml:space="preserve">Core distinction  </w:t>
            </w:r>
            <w:r>
              <w:t>Verification asks whether we solved the model correctly. Validation asks whether we constructed an adequate model of the relevant reality. A program can be verified and still be scientifically or operationally unsuitable.</w:t>
            </w:r>
          </w:p>
        </w:tc>
      </w:tr>
    </w:tbl>
    <w:p>
      <w:pPr>
        <w:spacing w:after="20"/>
      </w:pPr>
    </w:p>
    <w:p>
      <w:pPr>
        <w:pStyle w:val="Heading2"/>
      </w:pPr>
      <w:r>
        <w:t>Five elements every analytical proposal should expose</w:t>
      </w:r>
    </w:p>
    <w:tbl>
      <w:tblPr>
        <w:tblStyle w:val="TableGrid"/>
        <w:tblW w:type="dxa" w:w="9360"/>
        <w:tblLayout w:type="fixed"/>
        <w:tblLook w:firstColumn="1" w:firstRow="1" w:lastColumn="0" w:lastRow="0" w:noHBand="0" w:noVBand="1" w:val="04A0"/>
        <w:tblInd w:w="120" w:type="dxa"/>
      </w:tblPr>
      <w:tblGrid>
        <w:gridCol w:w="1700"/>
        <w:gridCol w:w="7660"/>
      </w:tblGrid>
      <w:tr>
        <w:trPr>
          <w:tblHeader/>
        </w:trPr>
        <w:tc>
          <w:tcPr>
            <w:tcW w:type="dxa" w:w="1700"/>
            <w:shd w:fill="2F75B5"/>
            <w:tcMar>
              <w:top w:w="100" w:type="dxa"/>
              <w:start w:w="140" w:type="dxa"/>
              <w:bottom w:w="100" w:type="dxa"/>
              <w:end w:w="140" w:type="dxa"/>
            </w:tcMar>
            <w:vAlign w:val="center"/>
          </w:tcPr>
          <w:p>
            <w:r>
              <w:rPr>
                <w:b/>
                <w:color w:val="FFFFFF"/>
                <w:sz w:val="20"/>
              </w:rPr>
              <w:t>Element</w:t>
            </w:r>
          </w:p>
        </w:tc>
        <w:tc>
          <w:tcPr>
            <w:tcW w:type="dxa" w:w="7660"/>
            <w:shd w:fill="2F75B5"/>
            <w:tcMar>
              <w:top w:w="100" w:type="dxa"/>
              <w:start w:w="140" w:type="dxa"/>
              <w:bottom w:w="100" w:type="dxa"/>
              <w:end w:w="140" w:type="dxa"/>
            </w:tcMar>
            <w:vAlign w:val="center"/>
          </w:tcPr>
          <w:p>
            <w:r>
              <w:rPr>
                <w:b/>
                <w:color w:val="FFFFFF"/>
                <w:sz w:val="20"/>
              </w:rPr>
              <w:t>What management should see</w:t>
            </w:r>
          </w:p>
        </w:tc>
      </w:tr>
      <w:tr>
        <w:tc>
          <w:tcPr>
            <w:tcW w:type="dxa" w:w="1700"/>
            <w:tcMar>
              <w:top w:w="100" w:type="dxa"/>
              <w:start w:w="140" w:type="dxa"/>
              <w:bottom w:w="100" w:type="dxa"/>
              <w:end w:w="140" w:type="dxa"/>
            </w:tcMar>
            <w:vAlign w:val="center"/>
          </w:tcPr>
          <w:p>
            <w:pPr>
              <w:spacing w:after="40" w:line="252" w:lineRule="auto"/>
            </w:pPr>
            <w:r>
              <w:rPr>
                <w:sz w:val="19"/>
              </w:rPr>
              <w:t>Variables</w:t>
            </w:r>
          </w:p>
        </w:tc>
        <w:tc>
          <w:tcPr>
            <w:tcW w:type="dxa" w:w="7660"/>
            <w:tcMar>
              <w:top w:w="100" w:type="dxa"/>
              <w:start w:w="140" w:type="dxa"/>
              <w:bottom w:w="100" w:type="dxa"/>
              <w:end w:w="140" w:type="dxa"/>
            </w:tcMar>
            <w:vAlign w:val="center"/>
          </w:tcPr>
          <w:p>
            <w:pPr>
              <w:spacing w:after="40" w:line="252" w:lineRule="auto"/>
            </w:pPr>
            <w:r>
              <w:rPr>
                <w:sz w:val="19"/>
              </w:rPr>
              <w:t>Inputs, states, decisions, outputs and latent constructs are not confused.</w:t>
            </w:r>
          </w:p>
        </w:tc>
      </w:tr>
      <w:tr>
        <w:tc>
          <w:tcPr>
            <w:tcW w:type="dxa" w:w="1700"/>
            <w:tcMar>
              <w:top w:w="100" w:type="dxa"/>
              <w:start w:w="140" w:type="dxa"/>
              <w:bottom w:w="100" w:type="dxa"/>
              <w:end w:w="140" w:type="dxa"/>
            </w:tcMar>
            <w:vAlign w:val="center"/>
          </w:tcPr>
          <w:p>
            <w:pPr>
              <w:spacing w:after="40" w:line="252" w:lineRule="auto"/>
            </w:pPr>
            <w:r>
              <w:rPr>
                <w:sz w:val="19"/>
              </w:rPr>
              <w:t>Assumptions</w:t>
            </w:r>
          </w:p>
        </w:tc>
        <w:tc>
          <w:tcPr>
            <w:tcW w:type="dxa" w:w="7660"/>
            <w:tcMar>
              <w:top w:w="100" w:type="dxa"/>
              <w:start w:w="140" w:type="dxa"/>
              <w:bottom w:w="100" w:type="dxa"/>
              <w:end w:w="140" w:type="dxa"/>
            </w:tcMar>
            <w:vAlign w:val="center"/>
          </w:tcPr>
          <w:p>
            <w:pPr>
              <w:spacing w:after="40" w:line="252" w:lineRule="auto"/>
            </w:pPr>
            <w:r>
              <w:rPr>
                <w:sz w:val="19"/>
              </w:rPr>
              <w:t>Conditions such as representativeness, stability, independence and measurement quality are stated and tested.</w:t>
            </w:r>
          </w:p>
        </w:tc>
      </w:tr>
      <w:tr>
        <w:tc>
          <w:tcPr>
            <w:tcW w:type="dxa" w:w="1700"/>
            <w:tcMar>
              <w:top w:w="100" w:type="dxa"/>
              <w:start w:w="140" w:type="dxa"/>
              <w:bottom w:w="100" w:type="dxa"/>
              <w:end w:w="140" w:type="dxa"/>
            </w:tcMar>
            <w:vAlign w:val="center"/>
          </w:tcPr>
          <w:p>
            <w:pPr>
              <w:spacing w:after="40" w:line="252" w:lineRule="auto"/>
            </w:pPr>
            <w:r>
              <w:rPr>
                <w:sz w:val="19"/>
              </w:rPr>
              <w:t>Objectives</w:t>
            </w:r>
          </w:p>
        </w:tc>
        <w:tc>
          <w:tcPr>
            <w:tcW w:type="dxa" w:w="7660"/>
            <w:tcMar>
              <w:top w:w="100" w:type="dxa"/>
              <w:start w:w="140" w:type="dxa"/>
              <w:bottom w:w="100" w:type="dxa"/>
              <w:end w:w="140" w:type="dxa"/>
            </w:tcMar>
            <w:vAlign w:val="center"/>
          </w:tcPr>
          <w:p>
            <w:pPr>
              <w:spacing w:after="40" w:line="252" w:lineRule="auto"/>
            </w:pPr>
            <w:r>
              <w:rPr>
                <w:sz w:val="19"/>
              </w:rPr>
              <w:t>The mathematical loss or target corresponds to the institution’s real objective and values.</w:t>
            </w:r>
          </w:p>
        </w:tc>
      </w:tr>
      <w:tr>
        <w:tc>
          <w:tcPr>
            <w:tcW w:type="dxa" w:w="1700"/>
            <w:tcMar>
              <w:top w:w="100" w:type="dxa"/>
              <w:start w:w="140" w:type="dxa"/>
              <w:bottom w:w="100" w:type="dxa"/>
              <w:end w:w="140" w:type="dxa"/>
            </w:tcMar>
            <w:vAlign w:val="center"/>
          </w:tcPr>
          <w:p>
            <w:pPr>
              <w:spacing w:after="40" w:line="252" w:lineRule="auto"/>
            </w:pPr>
            <w:r>
              <w:rPr>
                <w:sz w:val="19"/>
              </w:rPr>
              <w:t>Constraints</w:t>
            </w:r>
          </w:p>
        </w:tc>
        <w:tc>
          <w:tcPr>
            <w:tcW w:type="dxa" w:w="7660"/>
            <w:tcMar>
              <w:top w:w="100" w:type="dxa"/>
              <w:start w:w="140" w:type="dxa"/>
              <w:bottom w:w="100" w:type="dxa"/>
              <w:end w:w="140" w:type="dxa"/>
            </w:tcMar>
            <w:vAlign w:val="center"/>
          </w:tcPr>
          <w:p>
            <w:pPr>
              <w:spacing w:after="40" w:line="252" w:lineRule="auto"/>
            </w:pPr>
            <w:r>
              <w:rPr>
                <w:sz w:val="19"/>
              </w:rPr>
              <w:t>Budgets, laws, fairness, capacity, time and data availability are represented.</w:t>
            </w:r>
          </w:p>
        </w:tc>
      </w:tr>
      <w:tr>
        <w:tc>
          <w:tcPr>
            <w:tcW w:type="dxa" w:w="1700"/>
            <w:tcMar>
              <w:top w:w="100" w:type="dxa"/>
              <w:start w:w="140" w:type="dxa"/>
              <w:bottom w:w="100" w:type="dxa"/>
              <w:end w:w="140" w:type="dxa"/>
            </w:tcMar>
            <w:vAlign w:val="center"/>
          </w:tcPr>
          <w:p>
            <w:pPr>
              <w:spacing w:after="40" w:line="252" w:lineRule="auto"/>
            </w:pPr>
            <w:r>
              <w:rPr>
                <w:sz w:val="19"/>
              </w:rPr>
              <w:t>Evidence</w:t>
            </w:r>
          </w:p>
        </w:tc>
        <w:tc>
          <w:tcPr>
            <w:tcW w:type="dxa" w:w="7660"/>
            <w:tcMar>
              <w:top w:w="100" w:type="dxa"/>
              <w:start w:w="140" w:type="dxa"/>
              <w:bottom w:w="100" w:type="dxa"/>
              <w:end w:w="140" w:type="dxa"/>
            </w:tcMar>
            <w:vAlign w:val="center"/>
          </w:tcPr>
          <w:p>
            <w:pPr>
              <w:spacing w:after="40" w:line="252" w:lineRule="auto"/>
            </w:pPr>
            <w:r>
              <w:rPr>
                <w:sz w:val="19"/>
              </w:rPr>
              <w:t>Observed data, external comparisons, sensitivity tests and domain expertise confront the model.</w:t>
            </w:r>
          </w:p>
        </w:tc>
      </w:tr>
    </w:tbl>
    <w:p>
      <w:pPr>
        <w:spacing w:after="20"/>
      </w:pPr>
    </w:p>
    <w:p>
      <w:pPr>
        <w:pStyle w:val="Heading2"/>
      </w:pPr>
      <w:r>
        <w:t>Why the objective matters</w:t>
      </w:r>
    </w:p>
    <w:p>
      <w:r>
        <w:t>An algorithm optimizes what it is told to optimize. Minimizing average error may conceal severe errors in vulnerable regions; maximizing accuracy may fail when a rare outcome is consequential. Leaders must therefore approve the real-world objective—not merely the technical metric.</w:t>
      </w:r>
    </w:p>
    <w:p>
      <w:pPr>
        <w:pStyle w:val="Heading1"/>
      </w:pPr>
      <w:r>
        <w:t>A practical decision assurance protocol</w:t>
      </w:r>
    </w:p>
    <w:p>
      <w:r>
        <w:t>Before accepting a consequential statistical or AI-supported recommendation, the accountable executive should require a short assurance record addressing the following controls.</w:t>
      </w:r>
    </w:p>
    <w:tbl>
      <w:tblPr>
        <w:tblStyle w:val="TableGrid"/>
        <w:tblW w:type="dxa" w:w="9360"/>
        <w:tblLayout w:type="fixed"/>
        <w:tblLook w:firstColumn="1" w:firstRow="1" w:lastColumn="0" w:lastRow="0" w:noHBand="0" w:noVBand="1" w:val="04A0"/>
        <w:tblInd w:w="120" w:type="dxa"/>
      </w:tblPr>
      <w:tblGrid>
        <w:gridCol w:w="1500"/>
        <w:gridCol w:w="4400"/>
        <w:gridCol w:w="3460"/>
      </w:tblGrid>
      <w:tr>
        <w:trPr>
          <w:tblHeader/>
        </w:trPr>
        <w:tc>
          <w:tcPr>
            <w:tcW w:type="dxa" w:w="1500"/>
            <w:shd w:fill="2F75B5"/>
            <w:tcMar>
              <w:top w:w="100" w:type="dxa"/>
              <w:start w:w="140" w:type="dxa"/>
              <w:bottom w:w="100" w:type="dxa"/>
              <w:end w:w="140" w:type="dxa"/>
            </w:tcMar>
            <w:vAlign w:val="center"/>
          </w:tcPr>
          <w:p>
            <w:r>
              <w:rPr>
                <w:b/>
                <w:color w:val="FFFFFF"/>
                <w:sz w:val="20"/>
              </w:rPr>
              <w:t>Control</w:t>
            </w:r>
          </w:p>
        </w:tc>
        <w:tc>
          <w:tcPr>
            <w:tcW w:type="dxa" w:w="4400"/>
            <w:shd w:fill="2F75B5"/>
            <w:tcMar>
              <w:top w:w="100" w:type="dxa"/>
              <w:start w:w="140" w:type="dxa"/>
              <w:bottom w:w="100" w:type="dxa"/>
              <w:end w:w="140" w:type="dxa"/>
            </w:tcMar>
            <w:vAlign w:val="center"/>
          </w:tcPr>
          <w:p>
            <w:r>
              <w:rPr>
                <w:b/>
                <w:color w:val="FFFFFF"/>
                <w:sz w:val="20"/>
              </w:rPr>
              <w:t>Required evidence</w:t>
            </w:r>
          </w:p>
        </w:tc>
        <w:tc>
          <w:tcPr>
            <w:tcW w:type="dxa" w:w="3460"/>
            <w:shd w:fill="2F75B5"/>
            <w:tcMar>
              <w:top w:w="100" w:type="dxa"/>
              <w:start w:w="140" w:type="dxa"/>
              <w:bottom w:w="100" w:type="dxa"/>
              <w:end w:w="140" w:type="dxa"/>
            </w:tcMar>
            <w:vAlign w:val="center"/>
          </w:tcPr>
          <w:p>
            <w:r>
              <w:rPr>
                <w:b/>
                <w:color w:val="FFFFFF"/>
                <w:sz w:val="20"/>
              </w:rPr>
              <w:t>Warning sign</w:t>
            </w:r>
          </w:p>
        </w:tc>
      </w:tr>
      <w:tr>
        <w:tc>
          <w:tcPr>
            <w:tcW w:type="dxa" w:w="1500"/>
            <w:tcMar>
              <w:top w:w="100" w:type="dxa"/>
              <w:start w:w="140" w:type="dxa"/>
              <w:bottom w:w="100" w:type="dxa"/>
              <w:end w:w="140" w:type="dxa"/>
            </w:tcMar>
            <w:vAlign w:val="center"/>
          </w:tcPr>
          <w:p>
            <w:pPr>
              <w:spacing w:after="40" w:line="252" w:lineRule="auto"/>
            </w:pPr>
            <w:r>
              <w:rPr>
                <w:sz w:val="19"/>
              </w:rPr>
              <w:t>Problem definition</w:t>
            </w:r>
          </w:p>
        </w:tc>
        <w:tc>
          <w:tcPr>
            <w:tcW w:type="dxa" w:w="4400"/>
            <w:tcMar>
              <w:top w:w="100" w:type="dxa"/>
              <w:start w:w="140" w:type="dxa"/>
              <w:bottom w:w="100" w:type="dxa"/>
              <w:end w:w="140" w:type="dxa"/>
            </w:tcMar>
            <w:vAlign w:val="center"/>
          </w:tcPr>
          <w:p>
            <w:pPr>
              <w:spacing w:after="40" w:line="252" w:lineRule="auto"/>
            </w:pPr>
            <w:r>
              <w:rPr>
                <w:sz w:val="19"/>
              </w:rPr>
              <w:t>Decision, target population, time horizon and accountable owner</w:t>
            </w:r>
          </w:p>
        </w:tc>
        <w:tc>
          <w:tcPr>
            <w:tcW w:type="dxa" w:w="3460"/>
            <w:tcMar>
              <w:top w:w="100" w:type="dxa"/>
              <w:start w:w="140" w:type="dxa"/>
              <w:bottom w:w="100" w:type="dxa"/>
              <w:end w:w="140" w:type="dxa"/>
            </w:tcMar>
            <w:vAlign w:val="center"/>
          </w:tcPr>
          <w:p>
            <w:pPr>
              <w:spacing w:after="40" w:line="252" w:lineRule="auto"/>
            </w:pPr>
            <w:r>
              <w:rPr>
                <w:sz w:val="19"/>
              </w:rPr>
              <w:t>The team begins with a tool or model rather than a decision.</w:t>
            </w:r>
          </w:p>
        </w:tc>
      </w:tr>
      <w:tr>
        <w:tc>
          <w:tcPr>
            <w:tcW w:type="dxa" w:w="1500"/>
            <w:tcMar>
              <w:top w:w="100" w:type="dxa"/>
              <w:start w:w="140" w:type="dxa"/>
              <w:bottom w:w="100" w:type="dxa"/>
              <w:end w:w="140" w:type="dxa"/>
            </w:tcMar>
            <w:vAlign w:val="center"/>
          </w:tcPr>
          <w:p>
            <w:pPr>
              <w:spacing w:after="40" w:line="252" w:lineRule="auto"/>
            </w:pPr>
            <w:r>
              <w:rPr>
                <w:sz w:val="19"/>
              </w:rPr>
              <w:t>Data provenance</w:t>
            </w:r>
          </w:p>
        </w:tc>
        <w:tc>
          <w:tcPr>
            <w:tcW w:type="dxa" w:w="4400"/>
            <w:tcMar>
              <w:top w:w="100" w:type="dxa"/>
              <w:start w:w="140" w:type="dxa"/>
              <w:bottom w:w="100" w:type="dxa"/>
              <w:end w:w="140" w:type="dxa"/>
            </w:tcMar>
            <w:vAlign w:val="center"/>
          </w:tcPr>
          <w:p>
            <w:pPr>
              <w:spacing w:after="40" w:line="252" w:lineRule="auto"/>
            </w:pPr>
            <w:r>
              <w:rPr>
                <w:sz w:val="19"/>
              </w:rPr>
              <w:t>Source, version, coverage, exclusions, transformations and quality limitations</w:t>
            </w:r>
          </w:p>
        </w:tc>
        <w:tc>
          <w:tcPr>
            <w:tcW w:type="dxa" w:w="3460"/>
            <w:tcMar>
              <w:top w:w="100" w:type="dxa"/>
              <w:start w:w="140" w:type="dxa"/>
              <w:bottom w:w="100" w:type="dxa"/>
              <w:end w:w="140" w:type="dxa"/>
            </w:tcMar>
            <w:vAlign w:val="center"/>
          </w:tcPr>
          <w:p>
            <w:pPr>
              <w:spacing w:after="40" w:line="252" w:lineRule="auto"/>
            </w:pPr>
            <w:r>
              <w:rPr>
                <w:sz w:val="19"/>
              </w:rPr>
              <w:t>Analysts cannot reproduce the exact analytical dataset.</w:t>
            </w:r>
          </w:p>
        </w:tc>
      </w:tr>
      <w:tr>
        <w:tc>
          <w:tcPr>
            <w:tcW w:type="dxa" w:w="1500"/>
            <w:tcMar>
              <w:top w:w="100" w:type="dxa"/>
              <w:start w:w="140" w:type="dxa"/>
              <w:bottom w:w="100" w:type="dxa"/>
              <w:end w:w="140" w:type="dxa"/>
            </w:tcMar>
            <w:vAlign w:val="center"/>
          </w:tcPr>
          <w:p>
            <w:pPr>
              <w:spacing w:after="40" w:line="252" w:lineRule="auto"/>
            </w:pPr>
            <w:r>
              <w:rPr>
                <w:sz w:val="19"/>
              </w:rPr>
              <w:t>Model transparency</w:t>
            </w:r>
          </w:p>
        </w:tc>
        <w:tc>
          <w:tcPr>
            <w:tcW w:type="dxa" w:w="4400"/>
            <w:tcMar>
              <w:top w:w="100" w:type="dxa"/>
              <w:start w:w="140" w:type="dxa"/>
              <w:bottom w:w="100" w:type="dxa"/>
              <w:end w:w="140" w:type="dxa"/>
            </w:tcMar>
            <w:vAlign w:val="center"/>
          </w:tcPr>
          <w:p>
            <w:pPr>
              <w:spacing w:after="40" w:line="252" w:lineRule="auto"/>
            </w:pPr>
            <w:r>
              <w:rPr>
                <w:sz w:val="19"/>
              </w:rPr>
              <w:t>Variables, assumptions, objective, constraints and omitted factors</w:t>
            </w:r>
          </w:p>
        </w:tc>
        <w:tc>
          <w:tcPr>
            <w:tcW w:type="dxa" w:w="3460"/>
            <w:tcMar>
              <w:top w:w="100" w:type="dxa"/>
              <w:start w:w="140" w:type="dxa"/>
              <w:bottom w:w="100" w:type="dxa"/>
              <w:end w:w="140" w:type="dxa"/>
            </w:tcMar>
            <w:vAlign w:val="center"/>
          </w:tcPr>
          <w:p>
            <w:pPr>
              <w:spacing w:after="40" w:line="252" w:lineRule="auto"/>
            </w:pPr>
            <w:r>
              <w:rPr>
                <w:sz w:val="19"/>
              </w:rPr>
              <w:t>A polished output is offered without a model statement.</w:t>
            </w:r>
          </w:p>
        </w:tc>
      </w:tr>
      <w:tr>
        <w:tc>
          <w:tcPr>
            <w:tcW w:type="dxa" w:w="1500"/>
            <w:tcMar>
              <w:top w:w="100" w:type="dxa"/>
              <w:start w:w="140" w:type="dxa"/>
              <w:bottom w:w="100" w:type="dxa"/>
              <w:end w:w="140" w:type="dxa"/>
            </w:tcMar>
            <w:vAlign w:val="center"/>
          </w:tcPr>
          <w:p>
            <w:pPr>
              <w:spacing w:after="40" w:line="252" w:lineRule="auto"/>
            </w:pPr>
            <w:r>
              <w:rPr>
                <w:sz w:val="19"/>
              </w:rPr>
              <w:t>Computational reproducibility</w:t>
            </w:r>
          </w:p>
        </w:tc>
        <w:tc>
          <w:tcPr>
            <w:tcW w:type="dxa" w:w="4400"/>
            <w:tcMar>
              <w:top w:w="100" w:type="dxa"/>
              <w:start w:w="140" w:type="dxa"/>
              <w:bottom w:w="100" w:type="dxa"/>
              <w:end w:w="140" w:type="dxa"/>
            </w:tcMar>
            <w:vAlign w:val="center"/>
          </w:tcPr>
          <w:p>
            <w:pPr>
              <w:spacing w:after="40" w:line="252" w:lineRule="auto"/>
            </w:pPr>
            <w:r>
              <w:rPr>
                <w:sz w:val="19"/>
              </w:rPr>
              <w:t>Environment, dependencies, code, parameters, seed and execution record</w:t>
            </w:r>
          </w:p>
        </w:tc>
        <w:tc>
          <w:tcPr>
            <w:tcW w:type="dxa" w:w="3460"/>
            <w:tcMar>
              <w:top w:w="100" w:type="dxa"/>
              <w:start w:w="140" w:type="dxa"/>
              <w:bottom w:w="100" w:type="dxa"/>
              <w:end w:w="140" w:type="dxa"/>
            </w:tcMar>
            <w:vAlign w:val="center"/>
          </w:tcPr>
          <w:p>
            <w:pPr>
              <w:spacing w:after="40" w:line="252" w:lineRule="auto"/>
            </w:pPr>
            <w:r>
              <w:rPr>
                <w:sz w:val="19"/>
              </w:rPr>
              <w:t>Results depend on undocumented manual steps or hidden state.</w:t>
            </w:r>
          </w:p>
        </w:tc>
      </w:tr>
      <w:tr>
        <w:tc>
          <w:tcPr>
            <w:tcW w:type="dxa" w:w="1500"/>
            <w:tcMar>
              <w:top w:w="100" w:type="dxa"/>
              <w:start w:w="140" w:type="dxa"/>
              <w:bottom w:w="100" w:type="dxa"/>
              <w:end w:w="140" w:type="dxa"/>
            </w:tcMar>
            <w:vAlign w:val="center"/>
          </w:tcPr>
          <w:p>
            <w:pPr>
              <w:spacing w:after="40" w:line="252" w:lineRule="auto"/>
            </w:pPr>
            <w:r>
              <w:rPr>
                <w:sz w:val="19"/>
              </w:rPr>
              <w:t>Verification</w:t>
            </w:r>
          </w:p>
        </w:tc>
        <w:tc>
          <w:tcPr>
            <w:tcW w:type="dxa" w:w="4400"/>
            <w:tcMar>
              <w:top w:w="100" w:type="dxa"/>
              <w:start w:w="140" w:type="dxa"/>
              <w:bottom w:w="100" w:type="dxa"/>
              <w:end w:w="140" w:type="dxa"/>
            </w:tcMar>
            <w:vAlign w:val="center"/>
          </w:tcPr>
          <w:p>
            <w:pPr>
              <w:spacing w:after="40" w:line="252" w:lineRule="auto"/>
            </w:pPr>
            <w:r>
              <w:rPr>
                <w:sz w:val="19"/>
              </w:rPr>
              <w:t>Tests, invariants, boundary cases and independent calculations</w:t>
            </w:r>
          </w:p>
        </w:tc>
        <w:tc>
          <w:tcPr>
            <w:tcW w:type="dxa" w:w="3460"/>
            <w:tcMar>
              <w:top w:w="100" w:type="dxa"/>
              <w:start w:w="140" w:type="dxa"/>
              <w:bottom w:w="100" w:type="dxa"/>
              <w:end w:w="140" w:type="dxa"/>
            </w:tcMar>
            <w:vAlign w:val="center"/>
          </w:tcPr>
          <w:p>
            <w:pPr>
              <w:spacing w:after="40" w:line="252" w:lineRule="auto"/>
            </w:pPr>
            <w:r>
              <w:rPr>
                <w:sz w:val="19"/>
              </w:rPr>
              <w:t>The only evidence of correctness is that the code ran.</w:t>
            </w:r>
          </w:p>
        </w:tc>
      </w:tr>
      <w:tr>
        <w:tc>
          <w:tcPr>
            <w:tcW w:type="dxa" w:w="1500"/>
            <w:tcMar>
              <w:top w:w="100" w:type="dxa"/>
              <w:start w:w="140" w:type="dxa"/>
              <w:bottom w:w="100" w:type="dxa"/>
              <w:end w:w="140" w:type="dxa"/>
            </w:tcMar>
            <w:vAlign w:val="center"/>
          </w:tcPr>
          <w:p>
            <w:pPr>
              <w:spacing w:after="40" w:line="252" w:lineRule="auto"/>
            </w:pPr>
            <w:r>
              <w:rPr>
                <w:sz w:val="19"/>
              </w:rPr>
              <w:t>Validation</w:t>
            </w:r>
          </w:p>
        </w:tc>
        <w:tc>
          <w:tcPr>
            <w:tcW w:type="dxa" w:w="4400"/>
            <w:tcMar>
              <w:top w:w="100" w:type="dxa"/>
              <w:start w:w="140" w:type="dxa"/>
              <w:bottom w:w="100" w:type="dxa"/>
              <w:end w:w="140" w:type="dxa"/>
            </w:tcMar>
            <w:vAlign w:val="center"/>
          </w:tcPr>
          <w:p>
            <w:pPr>
              <w:spacing w:after="40" w:line="252" w:lineRule="auto"/>
            </w:pPr>
            <w:r>
              <w:rPr>
                <w:sz w:val="19"/>
              </w:rPr>
              <w:t>External evidence, sensitivity, subgroup, temporal and geographic testing</w:t>
            </w:r>
          </w:p>
        </w:tc>
        <w:tc>
          <w:tcPr>
            <w:tcW w:type="dxa" w:w="3460"/>
            <w:tcMar>
              <w:top w:w="100" w:type="dxa"/>
              <w:start w:w="140" w:type="dxa"/>
              <w:bottom w:w="100" w:type="dxa"/>
              <w:end w:w="140" w:type="dxa"/>
            </w:tcMar>
            <w:vAlign w:val="center"/>
          </w:tcPr>
          <w:p>
            <w:pPr>
              <w:spacing w:after="40" w:line="252" w:lineRule="auto"/>
            </w:pPr>
            <w:r>
              <w:rPr>
                <w:sz w:val="19"/>
              </w:rPr>
              <w:t>Performance is reported only on the development data.</w:t>
            </w:r>
          </w:p>
        </w:tc>
      </w:tr>
      <w:tr>
        <w:tc>
          <w:tcPr>
            <w:tcW w:type="dxa" w:w="1500"/>
            <w:tcMar>
              <w:top w:w="100" w:type="dxa"/>
              <w:start w:w="140" w:type="dxa"/>
              <w:bottom w:w="100" w:type="dxa"/>
              <w:end w:w="140" w:type="dxa"/>
            </w:tcMar>
            <w:vAlign w:val="center"/>
          </w:tcPr>
          <w:p>
            <w:pPr>
              <w:spacing w:after="40" w:line="252" w:lineRule="auto"/>
            </w:pPr>
            <w:r>
              <w:rPr>
                <w:sz w:val="19"/>
              </w:rPr>
              <w:t>Decision analysis</w:t>
            </w:r>
          </w:p>
        </w:tc>
        <w:tc>
          <w:tcPr>
            <w:tcW w:type="dxa" w:w="4400"/>
            <w:tcMar>
              <w:top w:w="100" w:type="dxa"/>
              <w:start w:w="140" w:type="dxa"/>
              <w:bottom w:w="100" w:type="dxa"/>
              <w:end w:w="140" w:type="dxa"/>
            </w:tcMar>
            <w:vAlign w:val="center"/>
          </w:tcPr>
          <w:p>
            <w:pPr>
              <w:spacing w:after="40" w:line="252" w:lineRule="auto"/>
            </w:pPr>
            <w:r>
              <w:rPr>
                <w:sz w:val="19"/>
              </w:rPr>
              <w:t>Costs, benefits, uncertainty, false alarms, missed events and distributional effects</w:t>
            </w:r>
          </w:p>
        </w:tc>
        <w:tc>
          <w:tcPr>
            <w:tcW w:type="dxa" w:w="3460"/>
            <w:tcMar>
              <w:top w:w="100" w:type="dxa"/>
              <w:start w:w="140" w:type="dxa"/>
              <w:bottom w:w="100" w:type="dxa"/>
              <w:end w:w="140" w:type="dxa"/>
            </w:tcMar>
            <w:vAlign w:val="center"/>
          </w:tcPr>
          <w:p>
            <w:pPr>
              <w:spacing w:after="40" w:line="252" w:lineRule="auto"/>
            </w:pPr>
            <w:r>
              <w:rPr>
                <w:sz w:val="19"/>
              </w:rPr>
              <w:t>One metric is treated as sufficient for the decision.</w:t>
            </w:r>
          </w:p>
        </w:tc>
      </w:tr>
    </w:tbl>
    <w:p>
      <w:pPr>
        <w:spacing w:after="20"/>
      </w:pPr>
    </w:p>
    <w:p>
      <w:pPr>
        <w:pStyle w:val="Heading2"/>
      </w:pPr>
      <w:r>
        <w:t>Management questions for an AI-generated answer</w:t>
      </w:r>
    </w:p>
    <w:p>
      <w:pPr>
        <w:pStyle w:val="ListBullet"/>
      </w:pPr>
      <w:r>
        <w:t>Which statements are observations, which are model outputs and which are interpretations?</w:t>
      </w:r>
    </w:p>
    <w:p>
      <w:pPr>
        <w:pStyle w:val="ListBullet"/>
      </w:pPr>
      <w:r>
        <w:t>What evidence would demonstrate that the answer is wrong or inadequate?</w:t>
      </w:r>
    </w:p>
    <w:p>
      <w:pPr>
        <w:pStyle w:val="ListBullet"/>
      </w:pPr>
      <w:r>
        <w:t>Can another analyst reproduce the result from the recorded inputs?</w:t>
      </w:r>
    </w:p>
    <w:p>
      <w:pPr>
        <w:pStyle w:val="ListBullet"/>
      </w:pPr>
      <w:r>
        <w:t>Which affected groups experience the largest error or risk?</w:t>
      </w:r>
    </w:p>
    <w:p>
      <w:pPr>
        <w:pStyle w:val="ListBullet"/>
      </w:pPr>
      <w:r>
        <w:t>What decision would change if the uncertainty were larger than reported?</w:t>
      </w:r>
    </w:p>
    <w:p>
      <w:pPr>
        <w:pStyle w:val="ListBullet"/>
      </w:pPr>
      <w:r>
        <w:t>Who remains accountable when the AI recommendation is accepted?</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100" w:type="dxa"/>
              <w:start w:w="140" w:type="dxa"/>
              <w:bottom w:w="100" w:type="dxa"/>
              <w:end w:w="140" w:type="dxa"/>
            </w:tcMar>
            <w:vAlign w:val="center"/>
          </w:tcPr>
          <w:p>
            <w:pPr>
              <w:spacing w:after="0"/>
            </w:pPr>
            <w:r>
              <w:rPr>
                <w:b/>
                <w:color w:val="17365D"/>
              </w:rPr>
              <w:t xml:space="preserve">Governance principle  </w:t>
            </w:r>
            <w:r>
              <w:t>AI can assist at every stage of the workflow. It cannot remove responsibility from any stage, and it cannot turn an undocumented calculation into knowledge.</w:t>
            </w:r>
          </w:p>
        </w:tc>
      </w:tr>
    </w:tbl>
    <w:p>
      <w:pPr>
        <w:spacing w:after="20"/>
      </w:pPr>
    </w:p>
    <w:p>
      <w:pPr>
        <w:pStyle w:val="Heading2"/>
      </w:pPr>
      <w:r>
        <w:t>Recommended institutional action</w:t>
      </w:r>
    </w:p>
    <w:p>
      <w:pPr>
        <w:pStyle w:val="ListBullet"/>
      </w:pPr>
      <w:r>
        <w:t>Adopt the SRAI assurance protocol for high-impact forecasts, scoring systems and AI-supported decisions.</w:t>
      </w:r>
    </w:p>
    <w:p>
      <w:pPr>
        <w:pStyle w:val="ListBullet"/>
      </w:pPr>
      <w:r>
        <w:t>Require reproducibility records as standard deliverables in analytical contracts and internal projects.</w:t>
      </w:r>
    </w:p>
    <w:p>
      <w:pPr>
        <w:pStyle w:val="ListBullet"/>
      </w:pPr>
      <w:r>
        <w:t>Separate technical verification, domain validation and executive authorization.</w:t>
      </w:r>
    </w:p>
    <w:p>
      <w:pPr>
        <w:pStyle w:val="ListBullet"/>
      </w:pPr>
      <w:r>
        <w:t>Maintain versioned evidence so a published number can be reconstructed after data or code changes.</w:t>
      </w:r>
    </w:p>
    <w:p>
      <w:pPr>
        <w:pStyle w:val="ListBullet"/>
      </w:pPr>
      <w:r>
        <w:t>Train managers to question objectives, constraints and consequences—not only model accuracy.</w:t>
      </w:r>
    </w:p>
    <w:p>
      <w:pPr>
        <w:pStyle w:val="Heading1"/>
      </w:pPr>
      <w:r>
        <w:t>Immediate implementation: a 30-day management agenda</w:t>
      </w:r>
    </w:p>
    <w:tbl>
      <w:tblPr>
        <w:tblStyle w:val="TableGrid"/>
        <w:tblW w:type="dxa" w:w="9360"/>
        <w:tblLayout w:type="fixed"/>
        <w:tblLook w:firstColumn="1" w:firstRow="1" w:lastColumn="0" w:lastRow="0" w:noHBand="0" w:noVBand="1" w:val="04A0"/>
        <w:tblInd w:w="120" w:type="dxa"/>
      </w:tblPr>
      <w:tblGrid>
        <w:gridCol w:w="1500"/>
        <w:gridCol w:w="5260"/>
        <w:gridCol w:w="2600"/>
      </w:tblGrid>
      <w:tr>
        <w:trPr>
          <w:tblHeader/>
        </w:trPr>
        <w:tc>
          <w:tcPr>
            <w:tcW w:type="dxa" w:w="1500"/>
            <w:shd w:fill="2F75B5"/>
            <w:tcMar>
              <w:top w:w="100" w:type="dxa"/>
              <w:start w:w="140" w:type="dxa"/>
              <w:bottom w:w="100" w:type="dxa"/>
              <w:end w:w="140" w:type="dxa"/>
            </w:tcMar>
            <w:vAlign w:val="center"/>
          </w:tcPr>
          <w:p>
            <w:r>
              <w:rPr>
                <w:b/>
                <w:color w:val="FFFFFF"/>
                <w:sz w:val="20"/>
              </w:rPr>
              <w:t>Period</w:t>
            </w:r>
          </w:p>
        </w:tc>
        <w:tc>
          <w:tcPr>
            <w:tcW w:type="dxa" w:w="5260"/>
            <w:shd w:fill="2F75B5"/>
            <w:tcMar>
              <w:top w:w="100" w:type="dxa"/>
              <w:start w:w="140" w:type="dxa"/>
              <w:bottom w:w="100" w:type="dxa"/>
              <w:end w:w="140" w:type="dxa"/>
            </w:tcMar>
            <w:vAlign w:val="center"/>
          </w:tcPr>
          <w:p>
            <w:r>
              <w:rPr>
                <w:b/>
                <w:color w:val="FFFFFF"/>
                <w:sz w:val="20"/>
              </w:rPr>
              <w:t>Action</w:t>
            </w:r>
          </w:p>
        </w:tc>
        <w:tc>
          <w:tcPr>
            <w:tcW w:type="dxa" w:w="2600"/>
            <w:shd w:fill="2F75B5"/>
            <w:tcMar>
              <w:top w:w="100" w:type="dxa"/>
              <w:start w:w="140" w:type="dxa"/>
              <w:bottom w:w="100" w:type="dxa"/>
              <w:end w:w="140" w:type="dxa"/>
            </w:tcMar>
            <w:vAlign w:val="center"/>
          </w:tcPr>
          <w:p>
            <w:r>
              <w:rPr>
                <w:b/>
                <w:color w:val="FFFFFF"/>
                <w:sz w:val="20"/>
              </w:rPr>
              <w:t>Output</w:t>
            </w:r>
          </w:p>
        </w:tc>
      </w:tr>
      <w:tr>
        <w:tc>
          <w:tcPr>
            <w:tcW w:type="dxa" w:w="1500"/>
            <w:tcMar>
              <w:top w:w="100" w:type="dxa"/>
              <w:start w:w="140" w:type="dxa"/>
              <w:bottom w:w="100" w:type="dxa"/>
              <w:end w:w="140" w:type="dxa"/>
            </w:tcMar>
            <w:vAlign w:val="center"/>
          </w:tcPr>
          <w:p>
            <w:pPr>
              <w:spacing w:after="40" w:line="252" w:lineRule="auto"/>
            </w:pPr>
            <w:r>
              <w:rPr>
                <w:sz w:val="19"/>
              </w:rPr>
              <w:t>Days 1–5</w:t>
            </w:r>
          </w:p>
        </w:tc>
        <w:tc>
          <w:tcPr>
            <w:tcW w:type="dxa" w:w="5260"/>
            <w:tcMar>
              <w:top w:w="100" w:type="dxa"/>
              <w:start w:w="140" w:type="dxa"/>
              <w:bottom w:w="100" w:type="dxa"/>
              <w:end w:w="140" w:type="dxa"/>
            </w:tcMar>
            <w:vAlign w:val="center"/>
          </w:tcPr>
          <w:p>
            <w:pPr>
              <w:spacing w:after="40" w:line="252" w:lineRule="auto"/>
            </w:pPr>
            <w:r>
              <w:rPr>
                <w:sz w:val="19"/>
              </w:rPr>
              <w:t>Select one consequential analytical product and identify its accountable owner.</w:t>
            </w:r>
          </w:p>
        </w:tc>
        <w:tc>
          <w:tcPr>
            <w:tcW w:type="dxa" w:w="2600"/>
            <w:tcMar>
              <w:top w:w="100" w:type="dxa"/>
              <w:start w:w="140" w:type="dxa"/>
              <w:bottom w:w="100" w:type="dxa"/>
              <w:end w:w="140" w:type="dxa"/>
            </w:tcMar>
            <w:vAlign w:val="center"/>
          </w:tcPr>
          <w:p>
            <w:pPr>
              <w:spacing w:after="40" w:line="252" w:lineRule="auto"/>
            </w:pPr>
            <w:r>
              <w:rPr>
                <w:sz w:val="19"/>
              </w:rPr>
              <w:t>Defined decision, users and risk level</w:t>
            </w:r>
          </w:p>
        </w:tc>
      </w:tr>
      <w:tr>
        <w:tc>
          <w:tcPr>
            <w:tcW w:type="dxa" w:w="1500"/>
            <w:tcMar>
              <w:top w:w="100" w:type="dxa"/>
              <w:start w:w="140" w:type="dxa"/>
              <w:bottom w:w="100" w:type="dxa"/>
              <w:end w:w="140" w:type="dxa"/>
            </w:tcMar>
            <w:vAlign w:val="center"/>
          </w:tcPr>
          <w:p>
            <w:pPr>
              <w:spacing w:after="40" w:line="252" w:lineRule="auto"/>
            </w:pPr>
            <w:r>
              <w:rPr>
                <w:sz w:val="19"/>
              </w:rPr>
              <w:t>Days 6–10</w:t>
            </w:r>
          </w:p>
        </w:tc>
        <w:tc>
          <w:tcPr>
            <w:tcW w:type="dxa" w:w="5260"/>
            <w:tcMar>
              <w:top w:w="100" w:type="dxa"/>
              <w:start w:w="140" w:type="dxa"/>
              <w:bottom w:w="100" w:type="dxa"/>
              <w:end w:w="140" w:type="dxa"/>
            </w:tcMar>
            <w:vAlign w:val="center"/>
          </w:tcPr>
          <w:p>
            <w:pPr>
              <w:spacing w:after="40" w:line="252" w:lineRule="auto"/>
            </w:pPr>
            <w:r>
              <w:rPr>
                <w:sz w:val="19"/>
              </w:rPr>
              <w:t>Document data provenance, variables, assumptions, objective, constraints and exclusions.</w:t>
            </w:r>
          </w:p>
        </w:tc>
        <w:tc>
          <w:tcPr>
            <w:tcW w:type="dxa" w:w="2600"/>
            <w:tcMar>
              <w:top w:w="100" w:type="dxa"/>
              <w:start w:w="140" w:type="dxa"/>
              <w:bottom w:w="100" w:type="dxa"/>
              <w:end w:w="140" w:type="dxa"/>
            </w:tcMar>
            <w:vAlign w:val="center"/>
          </w:tcPr>
          <w:p>
            <w:pPr>
              <w:spacing w:after="40" w:line="252" w:lineRule="auto"/>
            </w:pPr>
            <w:r>
              <w:rPr>
                <w:sz w:val="19"/>
              </w:rPr>
              <w:t>One-page model statement</w:t>
            </w:r>
          </w:p>
        </w:tc>
      </w:tr>
      <w:tr>
        <w:tc>
          <w:tcPr>
            <w:tcW w:type="dxa" w:w="1500"/>
            <w:tcMar>
              <w:top w:w="100" w:type="dxa"/>
              <w:start w:w="140" w:type="dxa"/>
              <w:bottom w:w="100" w:type="dxa"/>
              <w:end w:w="140" w:type="dxa"/>
            </w:tcMar>
            <w:vAlign w:val="center"/>
          </w:tcPr>
          <w:p>
            <w:pPr>
              <w:spacing w:after="40" w:line="252" w:lineRule="auto"/>
            </w:pPr>
            <w:r>
              <w:rPr>
                <w:sz w:val="19"/>
              </w:rPr>
              <w:t>Days 11–15</w:t>
            </w:r>
          </w:p>
        </w:tc>
        <w:tc>
          <w:tcPr>
            <w:tcW w:type="dxa" w:w="5260"/>
            <w:tcMar>
              <w:top w:w="100" w:type="dxa"/>
              <w:start w:w="140" w:type="dxa"/>
              <w:bottom w:w="100" w:type="dxa"/>
              <w:end w:w="140" w:type="dxa"/>
            </w:tcMar>
            <w:vAlign w:val="center"/>
          </w:tcPr>
          <w:p>
            <w:pPr>
              <w:spacing w:after="40" w:line="252" w:lineRule="auto"/>
            </w:pPr>
            <w:r>
              <w:rPr>
                <w:sz w:val="19"/>
              </w:rPr>
              <w:t>Recreate the computational environment and rerun the analysis independently.</w:t>
            </w:r>
          </w:p>
        </w:tc>
        <w:tc>
          <w:tcPr>
            <w:tcW w:type="dxa" w:w="2600"/>
            <w:tcMar>
              <w:top w:w="100" w:type="dxa"/>
              <w:start w:w="140" w:type="dxa"/>
              <w:bottom w:w="100" w:type="dxa"/>
              <w:end w:w="140" w:type="dxa"/>
            </w:tcMar>
            <w:vAlign w:val="center"/>
          </w:tcPr>
          <w:p>
            <w:pPr>
              <w:spacing w:after="40" w:line="252" w:lineRule="auto"/>
            </w:pPr>
            <w:r>
              <w:rPr>
                <w:sz w:val="19"/>
              </w:rPr>
              <w:t>Reproducibility and verification record</w:t>
            </w:r>
          </w:p>
        </w:tc>
      </w:tr>
      <w:tr>
        <w:tc>
          <w:tcPr>
            <w:tcW w:type="dxa" w:w="1500"/>
            <w:tcMar>
              <w:top w:w="100" w:type="dxa"/>
              <w:start w:w="140" w:type="dxa"/>
              <w:bottom w:w="100" w:type="dxa"/>
              <w:end w:w="140" w:type="dxa"/>
            </w:tcMar>
            <w:vAlign w:val="center"/>
          </w:tcPr>
          <w:p>
            <w:pPr>
              <w:spacing w:after="40" w:line="252" w:lineRule="auto"/>
            </w:pPr>
            <w:r>
              <w:rPr>
                <w:sz w:val="19"/>
              </w:rPr>
              <w:t>Days 16–20</w:t>
            </w:r>
          </w:p>
        </w:tc>
        <w:tc>
          <w:tcPr>
            <w:tcW w:type="dxa" w:w="5260"/>
            <w:tcMar>
              <w:top w:w="100" w:type="dxa"/>
              <w:start w:w="140" w:type="dxa"/>
              <w:bottom w:w="100" w:type="dxa"/>
              <w:end w:w="140" w:type="dxa"/>
            </w:tcMar>
            <w:vAlign w:val="center"/>
          </w:tcPr>
          <w:p>
            <w:pPr>
              <w:spacing w:after="40" w:line="252" w:lineRule="auto"/>
            </w:pPr>
            <w:r>
              <w:rPr>
                <w:sz w:val="19"/>
              </w:rPr>
              <w:t>Test sensitivity, external evidence, subgroups, geography and time.</w:t>
            </w:r>
          </w:p>
        </w:tc>
        <w:tc>
          <w:tcPr>
            <w:tcW w:type="dxa" w:w="2600"/>
            <w:tcMar>
              <w:top w:w="100" w:type="dxa"/>
              <w:start w:w="140" w:type="dxa"/>
              <w:bottom w:w="100" w:type="dxa"/>
              <w:end w:w="140" w:type="dxa"/>
            </w:tcMar>
            <w:vAlign w:val="center"/>
          </w:tcPr>
          <w:p>
            <w:pPr>
              <w:spacing w:after="40" w:line="252" w:lineRule="auto"/>
            </w:pPr>
            <w:r>
              <w:rPr>
                <w:sz w:val="19"/>
              </w:rPr>
              <w:t>Validation findings and limitations</w:t>
            </w:r>
          </w:p>
        </w:tc>
      </w:tr>
      <w:tr>
        <w:tc>
          <w:tcPr>
            <w:tcW w:type="dxa" w:w="1500"/>
            <w:tcMar>
              <w:top w:w="100" w:type="dxa"/>
              <w:start w:w="140" w:type="dxa"/>
              <w:bottom w:w="100" w:type="dxa"/>
              <w:end w:w="140" w:type="dxa"/>
            </w:tcMar>
            <w:vAlign w:val="center"/>
          </w:tcPr>
          <w:p>
            <w:pPr>
              <w:spacing w:after="40" w:line="252" w:lineRule="auto"/>
            </w:pPr>
            <w:r>
              <w:rPr>
                <w:sz w:val="19"/>
              </w:rPr>
              <w:t>Days 21–25</w:t>
            </w:r>
          </w:p>
        </w:tc>
        <w:tc>
          <w:tcPr>
            <w:tcW w:type="dxa" w:w="5260"/>
            <w:tcMar>
              <w:top w:w="100" w:type="dxa"/>
              <w:start w:w="140" w:type="dxa"/>
              <w:bottom w:w="100" w:type="dxa"/>
              <w:end w:w="140" w:type="dxa"/>
            </w:tcMar>
            <w:vAlign w:val="center"/>
          </w:tcPr>
          <w:p>
            <w:pPr>
              <w:spacing w:after="40" w:line="252" w:lineRule="auto"/>
            </w:pPr>
            <w:r>
              <w:rPr>
                <w:sz w:val="19"/>
              </w:rPr>
              <w:t>Assess false alarms, missed events, costs, benefits and affected groups.</w:t>
            </w:r>
          </w:p>
        </w:tc>
        <w:tc>
          <w:tcPr>
            <w:tcW w:type="dxa" w:w="2600"/>
            <w:tcMar>
              <w:top w:w="100" w:type="dxa"/>
              <w:start w:w="140" w:type="dxa"/>
              <w:bottom w:w="100" w:type="dxa"/>
              <w:end w:w="140" w:type="dxa"/>
            </w:tcMar>
            <w:vAlign w:val="center"/>
          </w:tcPr>
          <w:p>
            <w:pPr>
              <w:spacing w:after="40" w:line="252" w:lineRule="auto"/>
            </w:pPr>
            <w:r>
              <w:rPr>
                <w:sz w:val="19"/>
              </w:rPr>
              <w:t>Decision consequence analysis</w:t>
            </w:r>
          </w:p>
        </w:tc>
      </w:tr>
      <w:tr>
        <w:tc>
          <w:tcPr>
            <w:tcW w:type="dxa" w:w="1500"/>
            <w:tcMar>
              <w:top w:w="100" w:type="dxa"/>
              <w:start w:w="140" w:type="dxa"/>
              <w:bottom w:w="100" w:type="dxa"/>
              <w:end w:w="140" w:type="dxa"/>
            </w:tcMar>
            <w:vAlign w:val="center"/>
          </w:tcPr>
          <w:p>
            <w:pPr>
              <w:spacing w:after="40" w:line="252" w:lineRule="auto"/>
            </w:pPr>
            <w:r>
              <w:rPr>
                <w:sz w:val="19"/>
              </w:rPr>
              <w:t>Days 26–30</w:t>
            </w:r>
          </w:p>
        </w:tc>
        <w:tc>
          <w:tcPr>
            <w:tcW w:type="dxa" w:w="5260"/>
            <w:tcMar>
              <w:top w:w="100" w:type="dxa"/>
              <w:start w:w="140" w:type="dxa"/>
              <w:bottom w:w="100" w:type="dxa"/>
              <w:end w:w="140" w:type="dxa"/>
            </w:tcMar>
            <w:vAlign w:val="center"/>
          </w:tcPr>
          <w:p>
            <w:pPr>
              <w:spacing w:after="40" w:line="252" w:lineRule="auto"/>
            </w:pPr>
            <w:r>
              <w:rPr>
                <w:sz w:val="19"/>
              </w:rPr>
              <w:t>Approve, revise, restrict or reject the analytical product and archive the evidence.</w:t>
            </w:r>
          </w:p>
        </w:tc>
        <w:tc>
          <w:tcPr>
            <w:tcW w:type="dxa" w:w="2600"/>
            <w:tcMar>
              <w:top w:w="100" w:type="dxa"/>
              <w:start w:w="140" w:type="dxa"/>
              <w:bottom w:w="100" w:type="dxa"/>
              <w:end w:w="140" w:type="dxa"/>
            </w:tcMar>
            <w:vAlign w:val="center"/>
          </w:tcPr>
          <w:p>
            <w:pPr>
              <w:spacing w:after="40" w:line="252" w:lineRule="auto"/>
            </w:pPr>
            <w:r>
              <w:rPr>
                <w:sz w:val="19"/>
              </w:rPr>
              <w:t>Named decision and controlled release record</w:t>
            </w:r>
          </w:p>
        </w:tc>
      </w:tr>
    </w:tbl>
    <w:p>
      <w:pPr>
        <w:spacing w:after="20"/>
      </w:pPr>
    </w:p>
    <w:p>
      <w:pPr>
        <w:pStyle w:val="Heading2"/>
      </w:pPr>
      <w:r>
        <w:t>What reproducibility does—and does not—guarantee</w:t>
      </w:r>
    </w:p>
    <w:p>
      <w:r>
        <w:t>Reproducibility is essential because it makes an analytical claim inspectable. It does not prove that the data are representative, the causal assumptions are correct, the objective is ethical, the model will generalize, or the recommended action is wise. Those questions require validation, domain knowledge and accountable judgment.</w:t>
      </w:r>
    </w:p>
    <w:p>
      <w:pPr>
        <w:pStyle w:val="Heading2"/>
      </w:pPr>
      <w:r>
        <w:t>Evidence demonstrated in the companion notebook</w:t>
      </w:r>
    </w:p>
    <w:p>
      <w:r>
        <w:t>Notebook M1_N01 records a controlled random seed and environment, implements a deliberately simple electricity-demand model, verifies expected predictions and sensitivity numerically, and states omitted factors such as humidity, seasonality, prices, outages and nonlinear thresholds. Its central lesson is that correct code cannot compensate for an inadequate model.</w:t>
      </w:r>
    </w:p>
    <w:p>
      <w:pPr>
        <w:pStyle w:val="Heading2"/>
      </w:pPr>
      <w:r>
        <w:t>Decision checklist</w:t>
      </w:r>
    </w:p>
    <w:p>
      <w:pPr>
        <w:pStyle w:val="ListBullet"/>
      </w:pPr>
      <w:r>
        <w:t>Can the result be reproduced from controlled inputs?</w:t>
      </w:r>
    </w:p>
    <w:p>
      <w:pPr>
        <w:pStyle w:val="ListBullet"/>
      </w:pPr>
      <w:r>
        <w:t>Has mathematical and computational correctness been verified?</w:t>
      </w:r>
    </w:p>
    <w:p>
      <w:pPr>
        <w:pStyle w:val="ListBullet"/>
      </w:pPr>
      <w:r>
        <w:t>Has adequacy for the intended reality and population been validated?</w:t>
      </w:r>
    </w:p>
    <w:p>
      <w:pPr>
        <w:pStyle w:val="ListBullet"/>
      </w:pPr>
      <w:r>
        <w:t>Are assumptions, exclusions, uncertainty and limitations visible?</w:t>
      </w:r>
    </w:p>
    <w:p>
      <w:pPr>
        <w:pStyle w:val="ListBullet"/>
      </w:pPr>
      <w:r>
        <w:t>Are objective and constraints aligned with institutional purpose and public responsibility?</w:t>
      </w:r>
    </w:p>
    <w:p>
      <w:pPr>
        <w:pStyle w:val="ListBullet"/>
      </w:pPr>
      <w:r>
        <w:t>Is a named human authorized and accountable for the final decision?</w:t>
      </w:r>
    </w:p>
    <w:tbl>
      <w:tblPr>
        <w:tblW w:type="dxa" w:w="9360"/>
        <w:tblLayout w:type="fixed"/>
        <w:tblLook w:firstColumn="1" w:firstRow="1" w:lastColumn="0" w:lastRow="0" w:noHBand="0" w:noVBand="1" w:val="04A0"/>
        <w:tblInd w:w="120" w:type="dxa"/>
      </w:tblPr>
      <w:tblGrid>
        <w:gridCol w:w="9360"/>
      </w:tblGrid>
      <w:tr>
        <w:tc>
          <w:tcPr>
            <w:tcW w:type="dxa" w:w="9360"/>
            <w:shd w:fill="EEF4FB"/>
            <w:tcMar>
              <w:top w:w="100" w:type="dxa"/>
              <w:start w:w="140" w:type="dxa"/>
              <w:bottom w:w="100" w:type="dxa"/>
              <w:end w:w="140" w:type="dxa"/>
            </w:tcMar>
            <w:vAlign w:val="center"/>
          </w:tcPr>
          <w:p>
            <w:pPr>
              <w:spacing w:after="0"/>
            </w:pPr>
            <w:r>
              <w:rPr>
                <w:b/>
                <w:color w:val="17365D"/>
              </w:rPr>
              <w:t xml:space="preserve">Final message  </w:t>
            </w:r>
            <w:r>
              <w:t>Do not ask only, “What number did the model produce?” Ask, “What chain of reasoning and evidence makes this number fit for the decision before us?”</w:t>
            </w:r>
          </w:p>
        </w:tc>
      </w:tr>
    </w:tbl>
    <w:p>
      <w:pPr>
        <w:spacing w:after="20"/>
      </w:pPr>
    </w:p>
    <w:p>
      <w:pPr>
        <w:pStyle w:val="Heading2"/>
      </w:pPr>
      <w:r>
        <w:t>Source and control note</w:t>
      </w:r>
    </w:p>
    <w:p>
      <w:r>
        <w:t>Developed from SRAI Book 1, Chapter 1, “Mathematical Thinking and Reproducible Computation,” and canonical notebook M1_N01. This executive brief is a derivative production asset. It requires substantive owner review before it is marked Approved or used externally.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Controlled draft v1.0  •  Page </w:t>
    </w:r>
    <w:r>
      <w:rPr>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SRAI EXECUTIVE BRIEF  |  PU-B01-C01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F75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Precise Numbers to Defensible Decisions</dc:title>
  <dc:subject>SRAI PU-B01-C01 Executive Brief</dc:subject>
  <dc:creator>Mbaye Kebe — SRAI Project</dc:creator>
  <cp:keywords>SRAI, mathematical thinking, reproducibility, verification, validation, executive governance</cp:keywords>
  <dc:description>Draft v1.0; derived from controlled Chapter 1 and validated notebook M1_N01.</dc:description>
  <cp:lastModifiedBy/>
  <cp:revision>1</cp:revision>
  <dcterms:created xsi:type="dcterms:W3CDTF">2013-12-23T23:15:00Z</dcterms:created>
  <dcterms:modified xsi:type="dcterms:W3CDTF">2013-12-23T23:15:00Z</dcterms:modified>
  <cp:category/>
</cp:coreProperties>
</file>