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Start With the Decision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Define the public decision, accountable owner, horizon, lawful intervention, and abstention rule before selecting a model.</w:t>
            </w:r>
          </w:p>
        </w:tc>
      </w:tr>
    </w:tbl>
    <w:p>
      <w:pPr>
        <w:pStyle w:val="Heading1"/>
      </w:pPr>
      <w:r>
        <w:t>Why it matters</w:t>
      </w:r>
    </w:p>
    <w:p>
      <w:r>
        <w:t>A technically accurate signal can still be unusable when nobody has authority, time, capacity, or a lawful intervention.</w:t>
      </w:r>
    </w:p>
    <w:p>
      <w:pPr>
        <w:pStyle w:val="Heading1"/>
      </w:pPr>
      <w:r>
        <w:t>Illustrative application</w:t>
      </w:r>
    </w:p>
    <w:p>
      <w:r>
        <w:t>An attendance early-warning service identifies cases for authorized review; it does not impose sanctions or determine eligibility.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