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Start With the Decision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Why must the decision horizon be defined before model selection?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Who owns the final decision?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Give two reasons to abstain.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Why is accuracy alone insufficient?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It determines whether data latency and forecast lead time permit intervention.</w:t>
      </w:r>
    </w:p>
    <w:p>
      <w:pPr>
        <w:pStyle w:val="Heading2"/>
      </w:pPr>
      <w:r>
        <w:t>Solution 2</w:t>
      </w:r>
    </w:p>
    <w:p>
      <w:r>
        <w:t>The named lawful institutional authority, never the model.</w:t>
      </w:r>
    </w:p>
    <w:p>
      <w:pPr>
        <w:pStyle w:val="Heading2"/>
      </w:pPr>
      <w:r>
        <w:t>Solution 3</w:t>
      </w:r>
    </w:p>
    <w:p>
      <w:r>
        <w:t>Examples: inadequate data quality; uncertain probability band; failed linkage; distribution shift.</w:t>
      </w:r>
    </w:p>
    <w:p>
      <w:pPr>
        <w:pStyle w:val="Heading2"/>
      </w:pPr>
      <w:r>
        <w:t>Solution 4</w:t>
      </w:r>
    </w:p>
    <w:p>
      <w:r>
        <w:t>Accuracy does not encode consequences, equity, calibration, actionability, authority, or operational capacity.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