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Start With the Decision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Define the public decision, accountable owner, horizon, lawful intervention, and abstention rule before selecting a model.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By the end, you can: (1) define a public decision before choosing a model; (2) name the accountable owner and lawful intervention; (3) state the decision horizon and error trade-offs; (4) define abstention and escalation; and (5) produce a machine-readable decision contract.</w:t>
      </w:r>
    </w:p>
    <w:p>
      <w:pPr>
        <w:pStyle w:val="Heading1"/>
      </w:pPr>
      <w:r>
        <w:t>Why this matters</w:t>
      </w:r>
    </w:p>
    <w:p>
      <w:r>
        <w:t>A technically accurate signal can still be unusable when nobody has authority, time, capacity, or a lawful intervention.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1. Why the decision comes first</w:t>
      </w:r>
    </w:p>
    <w:p>
      <w:pPr>
        <w:pStyle w:val="ListBullet"/>
      </w:pPr>
      <w:r>
        <w:t>A forecast is useful only when a named institution can act within the forecast horizon.</w:t>
      </w:r>
    </w:p>
    <w:p>
      <w:pPr>
        <w:pStyle w:val="ListBullet"/>
      </w:pPr>
      <w:r>
        <w:t>We therefore separate: signal, analytical interpretation, recommendation, authorization, and action.</w:t>
      </w:r>
    </w:p>
    <w:p>
      <w:pPr>
        <w:pStyle w:val="ListBullet"/>
      </w:pPr>
      <w:r>
        <w:t>The model owns none of the last three.</w:t>
      </w:r>
    </w:p>
    <w:p>
      <w:pPr>
        <w:pStyle w:val="Heading1"/>
      </w:pPr>
      <w:r>
        <w:t>2. A worked agricultural contract</w:t>
      </w:r>
    </w:p>
    <w:p>
      <w:pPr>
        <w:pStyle w:val="ListBullet"/>
      </w:pPr>
      <w:r>
        <w:t>The analytical system may identify areas requiring field verification.</w:t>
      </w:r>
    </w:p>
    <w:p>
      <w:pPr>
        <w:pStyle w:val="ListBullet"/>
      </w:pPr>
      <w:r>
        <w:t>It does not declare a food-security emergency or allocate resources automatically.</w:t>
      </w:r>
    </w:p>
    <w:p>
      <w:pPr>
        <w:pStyle w:val="Heading1"/>
      </w:pPr>
      <w:r>
        <w:t>3. Loss is not the same as model error</w:t>
      </w:r>
    </w:p>
    <w:p>
      <w:pPr>
        <w:pStyle w:val="ListBullet"/>
      </w:pPr>
      <w:r>
        <w:t>A false negative can be more consequential than a false positive, or vice versa.</w:t>
      </w:r>
    </w:p>
    <w:p>
      <w:pPr>
        <w:pStyle w:val="ListBullet"/>
      </w:pPr>
      <w:r>
        <w:t>The relative cost is a policy judgement to document—not a number for the model to invent.</w:t>
      </w:r>
    </w:p>
    <w:p>
      <w:pPr>
        <w:pStyle w:val="Heading1"/>
      </w:pPr>
      <w:r>
        <w:t>4. Actionability gate</w:t>
      </w:r>
    </w:p>
    <w:p>
      <w:pPr>
        <w:pStyle w:val="ListBullet"/>
      </w:pPr>
      <w:r>
        <w:t>A high accuracy score is insufficient.</w:t>
      </w:r>
    </w:p>
    <w:p>
      <w:pPr>
        <w:pStyle w:val="ListBullet"/>
      </w:pPr>
      <w:r>
        <w:t>A candidate passes only if the owner, intervention, horizon, authority, and operational capacity are all present.</w:t>
      </w:r>
    </w:p>
    <w:p>
      <w:pPr>
        <w:pStyle w:val="Heading1"/>
      </w:pPr>
      <w:r>
        <w:t>5. Abstention is a valid output</w:t>
      </w:r>
    </w:p>
    <w:p>
      <w:pPr>
        <w:pStyle w:val="ListBullet"/>
      </w:pPr>
      <w:r>
        <w:t>When required evidence is missing, the safest analytical output may be: insufficient evidence—refer for review.</w:t>
      </w:r>
    </w:p>
    <w:p>
      <w:pPr>
        <w:pStyle w:val="ListBullet"/>
      </w:pPr>
      <w:r>
        <w:t>This protects decision-makers from false precision.</w:t>
      </w:r>
    </w:p>
    <w:p>
      <w:pPr>
        <w:pStyle w:val="Heading1"/>
      </w:pPr>
      <w:r>
        <w:t>6. Cross-sector exercise</w:t>
      </w:r>
    </w:p>
    <w:p>
      <w:pPr>
        <w:pStyle w:val="ListBullet"/>
      </w:pPr>
      <w:r>
        <w:t>Complete the contract below for an attendance/dropout early-warning service.</w:t>
      </w:r>
    </w:p>
    <w:p>
      <w:pPr>
        <w:pStyle w:val="ListBullet"/>
      </w:pPr>
      <w:r>
        <w:t>Do not write 'the AI system' as the accountable owner.</w:t>
      </w:r>
    </w:p>
    <w:p>
      <w:pPr>
        <w:pStyle w:val="Heading1"/>
      </w:pPr>
      <w:r>
        <w:t>Worked cross-sector example</w:t>
      </w:r>
    </w:p>
    <w:p>
      <w:r>
        <w:t>An attendance early-warning service identifies cases for authorized review; it does not impose sanctions or determine eligibility.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Why must the decision horizon be defined before model selection?</w:t>
      </w:r>
    </w:p>
    <w:p>
      <w:pPr>
        <w:pStyle w:val="ListBullet"/>
      </w:pPr>
      <w:r>
        <w:t>2.</w:t>
      </w:r>
    </w:p>
    <w:p>
      <w:pPr>
        <w:pStyle w:val="ListBullet"/>
      </w:pPr>
      <w:r>
        <w:t>Who owns the final decision?</w:t>
      </w:r>
    </w:p>
    <w:p>
      <w:pPr>
        <w:pStyle w:val="ListBullet"/>
      </w:pPr>
      <w:r>
        <w:t>3.</w:t>
      </w:r>
    </w:p>
    <w:p>
      <w:pPr>
        <w:pStyle w:val="ListBullet"/>
      </w:pPr>
      <w:r>
        <w:t>Give two reasons to abstain.</w:t>
      </w:r>
    </w:p>
    <w:p>
      <w:pPr>
        <w:pStyle w:val="ListBullet"/>
      </w:pPr>
      <w:r>
        <w:t>4.</w:t>
      </w:r>
    </w:p>
    <w:p>
      <w:pPr>
        <w:pStyle w:val="ListBullet"/>
      </w:pPr>
      <w:r>
        <w:t>Why is accuracy alone insufficient?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It determines whether data latency and forecast lead time permit intervention.</w:t>
      </w:r>
    </w:p>
    <w:p>
      <w:pPr>
        <w:pStyle w:val="ListBullet"/>
      </w:pPr>
      <w:r>
        <w:t>2.</w:t>
      </w:r>
    </w:p>
    <w:p>
      <w:pPr>
        <w:pStyle w:val="ListBullet"/>
      </w:pPr>
      <w:r>
        <w:t>The named lawful institutional authority, never the model.</w:t>
      </w:r>
    </w:p>
    <w:p>
      <w:pPr>
        <w:pStyle w:val="ListBullet"/>
      </w:pPr>
      <w:r>
        <w:t>3.</w:t>
      </w:r>
    </w:p>
    <w:p>
      <w:pPr>
        <w:pStyle w:val="ListBullet"/>
      </w:pPr>
      <w:r>
        <w:t>Examples: inadequate data quality; uncertain probability band; failed linkage; distribution shift.</w:t>
      </w:r>
    </w:p>
    <w:p>
      <w:pPr>
        <w:pStyle w:val="ListBullet"/>
      </w:pPr>
      <w:r>
        <w:t>4.</w:t>
      </w:r>
    </w:p>
    <w:p>
      <w:pPr>
        <w:pStyle w:val="ListBullet"/>
      </w:pPr>
      <w:r>
        <w:t>Accuracy does not encode consequences, equity, calibration, actionability, authority, or operational capacity.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