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Build the Evidence Contract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Specify what every record means and which transformations, linkages, access conditions, and retention rules are permitted.</w:t>
            </w:r>
          </w:p>
        </w:tc>
      </w:tr>
    </w:tbl>
    <w:p>
      <w:pPr>
        <w:pStyle w:val="Heading1"/>
      </w:pPr>
      <w:r>
        <w:t>Why it matters</w:t>
      </w:r>
    </w:p>
    <w:p>
      <w:r>
        <w:t>Successful joins can create false evidence when concepts, periods, populations, or lawful purposes are incompatible.</w:t>
      </w:r>
    </w:p>
    <w:p>
      <w:pPr>
        <w:pStyle w:val="Heading1"/>
      </w:pPr>
      <w:r>
        <w:t>Illustrative application</w:t>
      </w:r>
    </w:p>
    <w:p>
      <w:r>
        <w:t>A rainfall station contract binds the identifier, coordinates version, unit, observation time, calibration status, provenance, and quality owner.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