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Build the Evidence Contract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V7_0_N02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Draft a source contract for rainfall stations.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State the key and grain for monthly facility reporting.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a successful join may still be invalid.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Define a retention schedule for a linked analytical table.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Include station entity, identifier, coordinates/version, variable/unit, observation time, authority, calibration, update cycle, access, retention, and quality owner.</w:t>
      </w:r>
    </w:p>
    <w:p>
      <w:pPr>
        <w:pStyle w:val="Heading2"/>
      </w:pPr>
      <w:r>
        <w:t>Solution 2</w:t>
      </w:r>
    </w:p>
    <w:p>
      <w:r>
        <w:t>A candidate key is facility identifier + reporting month, subject to the declared service/disaggregation grain.</w:t>
      </w:r>
    </w:p>
    <w:p>
      <w:pPr>
        <w:pStyle w:val="Heading2"/>
      </w:pPr>
      <w:r>
        <w:t>Solution 3</w:t>
      </w:r>
    </w:p>
    <w:p>
      <w:r>
        <w:t>Keys can match while concepts, periods, populations, authority, or quality are incompatible.</w:t>
      </w:r>
    </w:p>
    <w:p>
      <w:pPr>
        <w:pStyle w:val="Heading2"/>
      </w:pPr>
      <w:r>
        <w:t>Solution 4</w:t>
      </w:r>
    </w:p>
    <w:p>
      <w:r>
        <w:t>State purpose, lawful basis, approved users, active duration, review date, deletion/archive rule, and evidence of disposal.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V7_0_N02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