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Build the Evidence Contract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Specify what every record means and which transformations, linkages, access conditions, and retention rules are permitted.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Define entities, identifiers, measures, classifications, reference periods, spatial grain, provenance, lawful access, linkage rules, and retention before analysis.</w:t>
      </w:r>
    </w:p>
    <w:p>
      <w:pPr>
        <w:pStyle w:val="Heading1"/>
      </w:pPr>
      <w:r>
        <w:t>Why this matters</w:t>
      </w:r>
    </w:p>
    <w:p>
      <w:r>
        <w:t>Successful joins can create false evidence when concepts, periods, populations, or lawful purposes are incompatible.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1. Evidence is a contract</w:t>
      </w:r>
    </w:p>
    <w:p>
      <w:pPr>
        <w:pStyle w:val="ListBullet"/>
      </w:pPr>
      <w:r>
        <w:t>A table is not self-explanatory.</w:t>
      </w:r>
    </w:p>
    <w:p>
      <w:pPr>
        <w:pStyle w:val="ListBullet"/>
      </w:pPr>
      <w:r>
        <w:t>The same column name can represent different concepts across agencies.</w:t>
      </w:r>
    </w:p>
    <w:p>
      <w:pPr>
        <w:pStyle w:val="ListBullet"/>
      </w:pPr>
      <w:r>
        <w:t>A usable source contract states what each record means, who created it, when it applies, and which transformations are permitted.</w:t>
      </w:r>
    </w:p>
    <w:p>
      <w:pPr>
        <w:pStyle w:val="Heading1"/>
      </w:pPr>
      <w:r>
        <w:t>2. Validate identifiers and grain</w:t>
      </w:r>
    </w:p>
    <w:p>
      <w:pPr>
        <w:pStyle w:val="ListBullet"/>
      </w:pPr>
      <w:r>
        <w:t>A valid key must be unique at the declared entity-time-space grain.</w:t>
      </w:r>
    </w:p>
    <w:p>
      <w:pPr>
        <w:pStyle w:val="ListBullet"/>
      </w:pPr>
      <w:r>
        <w:t>Failure means aggregation, duplication, or linkage may produce false counts.</w:t>
      </w:r>
    </w:p>
    <w:p>
      <w:pPr>
        <w:pStyle w:val="Heading1"/>
      </w:pPr>
      <w:r>
        <w:t>3. Classification and unit controls</w:t>
      </w:r>
    </w:p>
    <w:p>
      <w:pPr>
        <w:pStyle w:val="ListBullet"/>
      </w:pPr>
      <w:r>
        <w:t>Values become comparable only after concepts, units, code lists, and versions are aligned.</w:t>
      </w:r>
    </w:p>
    <w:p>
      <w:pPr>
        <w:pStyle w:val="ListBullet"/>
      </w:pPr>
      <w:r>
        <w:t>Never silently map an unknown code to “other”.</w:t>
      </w:r>
    </w:p>
    <w:p>
      <w:pPr>
        <w:pStyle w:val="Heading1"/>
      </w:pPr>
      <w:r>
        <w:t>4. Provenance ledger</w:t>
      </w:r>
    </w:p>
    <w:p>
      <w:pPr>
        <w:pStyle w:val="ListBullet"/>
      </w:pPr>
      <w:r>
        <w:t>Every transformation should have an input, rule, output, actor, time, and version.</w:t>
      </w:r>
    </w:p>
    <w:p>
      <w:pPr>
        <w:pStyle w:val="ListBullet"/>
      </w:pPr>
      <w:r>
        <w:t>A provenance hash detects later change; it does not prove the data are true.</w:t>
      </w:r>
    </w:p>
    <w:p>
      <w:pPr>
        <w:pStyle w:val="Heading1"/>
      </w:pPr>
      <w:r>
        <w:t>5. Linkage is a governed operation</w:t>
      </w:r>
    </w:p>
    <w:p>
      <w:pPr>
        <w:pStyle w:val="ListBullet"/>
      </w:pPr>
      <w:r>
        <w:t>Joining datasets can create new sensitivity and new error.</w:t>
      </w:r>
    </w:p>
    <w:p>
      <w:pPr>
        <w:pStyle w:val="ListBullet"/>
      </w:pPr>
      <w:r>
        <w:t>Specify join cardinality, permitted fields, match review, unresolved cases, and whether the linked output may persist.</w:t>
      </w:r>
    </w:p>
    <w:p>
      <w:pPr>
        <w:pStyle w:val="Heading1"/>
      </w:pPr>
      <w:r>
        <w:t>6. Data minimization and retention</w:t>
      </w:r>
    </w:p>
    <w:p>
      <w:pPr>
        <w:pStyle w:val="ListBullet"/>
      </w:pPr>
      <w:r>
        <w:t>Collect the least detail needed for the decision.</w:t>
      </w:r>
    </w:p>
    <w:p>
      <w:pPr>
        <w:pStyle w:val="ListBullet"/>
      </w:pPr>
      <w:r>
        <w:t>Retention requires a purpose, duration, custodian, deletion/archive trigger, and audit record.</w:t>
      </w:r>
    </w:p>
    <w:p>
      <w:pPr>
        <w:pStyle w:val="Heading1"/>
      </w:pPr>
      <w:r>
        <w:t>Worked cross-sector example</w:t>
      </w:r>
    </w:p>
    <w:p>
      <w:r>
        <w:t>A rainfall station contract binds the identifier, coordinates version, unit, observation time, calibration status, provenance, and quality owner.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Draft a source contract for rainfall stations.</w:t>
      </w:r>
    </w:p>
    <w:p>
      <w:pPr>
        <w:pStyle w:val="ListBullet"/>
      </w:pPr>
      <w:r>
        <w:t>2.</w:t>
      </w:r>
    </w:p>
    <w:p>
      <w:pPr>
        <w:pStyle w:val="ListBullet"/>
      </w:pPr>
      <w:r>
        <w:t>State the key and grain for monthly facility reporting.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a successful join may still be invalid.</w:t>
      </w:r>
    </w:p>
    <w:p>
      <w:pPr>
        <w:pStyle w:val="ListBullet"/>
      </w:pPr>
      <w:r>
        <w:t>4.</w:t>
      </w:r>
    </w:p>
    <w:p>
      <w:pPr>
        <w:pStyle w:val="ListBullet"/>
      </w:pPr>
      <w:r>
        <w:t>Define a retention schedule for a linked analytical table.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Include station entity, identifier, coordinates/version, variable/unit, observation time, authority, calibration, update cycle, access, retention, and quality owner.</w:t>
      </w:r>
    </w:p>
    <w:p>
      <w:pPr>
        <w:pStyle w:val="ListBullet"/>
      </w:pPr>
      <w:r>
        <w:t>2.</w:t>
      </w:r>
    </w:p>
    <w:p>
      <w:pPr>
        <w:pStyle w:val="ListBullet"/>
      </w:pPr>
      <w:r>
        <w:t>A candidate key is facility identifier + reporting month, subject to the declared service/disaggregation grain.</w:t>
      </w:r>
    </w:p>
    <w:p>
      <w:pPr>
        <w:pStyle w:val="ListBullet"/>
      </w:pPr>
      <w:r>
        <w:t>3.</w:t>
      </w:r>
    </w:p>
    <w:p>
      <w:pPr>
        <w:pStyle w:val="ListBullet"/>
      </w:pPr>
      <w:r>
        <w:t>Keys can match while concepts, periods, populations, authority, or quality are incompatible.</w:t>
      </w:r>
    </w:p>
    <w:p>
      <w:pPr>
        <w:pStyle w:val="ListBullet"/>
      </w:pPr>
      <w:r>
        <w:t>4.</w:t>
      </w:r>
    </w:p>
    <w:p>
      <w:pPr>
        <w:pStyle w:val="ListBullet"/>
      </w:pPr>
      <w:r>
        <w:t>State purpose, lawful basis, approved users, active duration, review date, deletion/archive rule, and evidence of disposal.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