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Quality Is a Decision Variable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Judge data fitness for the intended decision across completeness, timeliness, coverage, coherence, revisions, and drift.</w:t>
            </w:r>
          </w:p>
        </w:tc>
      </w:tr>
    </w:tbl>
    <w:p>
      <w:pPr>
        <w:pStyle w:val="Heading1"/>
      </w:pPr>
      <w:r>
        <w:t>Why it matters</w:t>
      </w:r>
    </w:p>
    <w:p>
      <w:r>
        <w:t>A composite quality average can conceal a failed critical field, unlawful source, unusable delay, or severe subgroup gap.</w:t>
      </w:r>
    </w:p>
    <w:p>
      <w:pPr>
        <w:pStyle w:val="Heading1"/>
      </w:pPr>
      <w:r>
        <w:t>Illustrative application</w:t>
      </w:r>
    </w:p>
    <w:p>
      <w:r>
        <w:t>Weighted coverage reveals when a small number of missing reporting units represent a large share of the affected population.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