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Earn the Model’s Complexity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Adopt complexity only when it improves future, decision-relevant performance over transparent baselines and remains governable.</w:t>
            </w:r>
          </w:p>
        </w:tc>
      </w:tr>
    </w:tbl>
    <w:p>
      <w:pPr>
        <w:pStyle w:val="Heading1"/>
      </w:pPr>
      <w:r>
        <w:t>Why it matters</w:t>
      </w:r>
    </w:p>
    <w:p>
      <w:r>
        <w:t>Random splitting, weak baselines, and point estimates can create impressive results that fail under real forecasting conditions.</w:t>
      </w:r>
    </w:p>
    <w:p>
      <w:pPr>
        <w:pStyle w:val="Heading1"/>
      </w:pPr>
      <w:r>
        <w:t>Illustrative application</w:t>
      </w:r>
    </w:p>
    <w:p>
      <w:r>
        <w:t>A seasonal regression is compared with last-value, seasonal-history, and trend baselines using time-ordered holdouts and interval coverage.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V7_0_N04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