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Earn the Model’s Complexity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V7_0_N04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rolling-origin evaluation.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Compare MAE and RMSE consequences.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Recalibrate the interval.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4</w:t>
      </w:r>
    </w:p>
    <w:p>
      <w:r>
        <w:t>Define a retirement trigger.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Refit/forecast at successive historical origins and aggregate horizon-specific metrics.</w:t>
      </w:r>
    </w:p>
    <w:p>
      <w:pPr>
        <w:pStyle w:val="Heading2"/>
      </w:pPr>
      <w:r>
        <w:t>Solution 2</w:t>
      </w:r>
    </w:p>
    <w:p>
      <w:r>
        <w:t>RMSE penalizes large errors more; choose according to decision loss rather than habit.</w:t>
      </w:r>
    </w:p>
    <w:p>
      <w:pPr>
        <w:pStyle w:val="Heading2"/>
      </w:pPr>
      <w:r>
        <w:t>Solution 3</w:t>
      </w:r>
    </w:p>
    <w:p>
      <w:r>
        <w:t>Estimate residual quantiles on a calibration window and verify held-out coverage and width.</w:t>
      </w:r>
    </w:p>
    <w:p>
      <w:pPr>
        <w:pStyle w:val="Heading2"/>
      </w:pPr>
      <w:r>
        <w:t>Solution 4</w:t>
      </w:r>
    </w:p>
    <w:p>
      <w:r>
        <w:t>Examples: persistent baseline underperformance, failed coverage/calibration, unacceptable subgroup harm, unmaintainable dependencies, or changed purpose.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V7_0_N04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