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Ingest Once, Preserve the Evidence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Create a traceable agricultural evidence layer that preserves source meaning, provenance, units, time, geography, and lawful use through ingestion.</w:t>
            </w:r>
          </w:p>
        </w:tc>
      </w:tr>
    </w:tbl>
    <w:p>
      <w:pPr>
        <w:pStyle w:val="Heading1"/>
      </w:pPr>
      <w:r>
        <w:t>Why it matters</w:t>
      </w:r>
    </w:p>
    <w:p>
      <w:r>
        <w:t>Convenient pipelines can erase provenance or change meaning, leaving downstream agricultural decisions impossible to audit.</w:t>
      </w:r>
    </w:p>
    <w:p>
      <w:pPr>
        <w:pStyle w:val="Heading1"/>
      </w:pPr>
      <w:r>
        <w:t>Illustrative application</w:t>
      </w:r>
    </w:p>
    <w:p>
      <w:r>
        <w:t>A rainfall observation retains station identity, coordinate version, unit, timestamp, calibration state, and source checksum after ingestion.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V7_A_N02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