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Ingest Once, Preserve the Evidence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schema validation.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Design correction lineage.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accepted is not published.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Validate names, types, ranges, keys, units, and version before bronze storage.</w:t>
      </w:r>
    </w:p>
    <w:p>
      <w:pPr>
        <w:pStyle w:val="Heading2"/>
      </w:pPr>
      <w:r>
        <w:t>Solution 2</w:t>
      </w:r>
    </w:p>
    <w:p>
      <w:r>
        <w:t>Preserve immutable originals and link each replacement to its predecessor, reason, authorizer, and timestamp.</w:t>
      </w:r>
    </w:p>
    <w:p>
      <w:pPr>
        <w:pStyle w:val="Heading2"/>
      </w:pPr>
      <w:r>
        <w:t>Solution 3</w:t>
      </w:r>
    </w:p>
    <w:p>
      <w:r>
        <w:t>Acceptance only confirms intake controls; statistical validation, confidentiality, approval, and release remain pending.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