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Ingest Once, Preserve the Evidence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Create a traceable agricultural evidence layer that preserves source meaning, provenance, units, time, geography, and lawful use through ingestion.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Convenient pipelines can erase provenance or change meaning, leaving downstream agricultural decisions impossible to audit.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rainfall observation retains station identity, coordinate version, unit, timestamp, calibration state, and source checksum after ingestion.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schema validation.</w:t>
      </w:r>
    </w:p>
    <w:p>
      <w:pPr>
        <w:pStyle w:val="ListBullet"/>
      </w:pPr>
      <w:r>
        <w:t>2.</w:t>
      </w:r>
    </w:p>
    <w:p>
      <w:pPr>
        <w:pStyle w:val="ListBullet"/>
      </w:pPr>
      <w:r>
        <w:t>Design correction lineage.</w:t>
      </w:r>
    </w:p>
    <w:p>
      <w:pPr>
        <w:pStyle w:val="ListBullet"/>
      </w:pPr>
      <w:r>
        <w:t>3.</w:t>
      </w:r>
    </w:p>
    <w:p>
      <w:pPr>
        <w:pStyle w:val="ListBullet"/>
      </w:pPr>
      <w:r>
        <w:t>Explain why accepted is not published.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Validate names, types, ranges, keys, units, and version before bronze storage.</w:t>
      </w:r>
    </w:p>
    <w:p>
      <w:pPr>
        <w:pStyle w:val="ListBullet"/>
      </w:pPr>
      <w:r>
        <w:t>2.</w:t>
      </w:r>
    </w:p>
    <w:p>
      <w:pPr>
        <w:pStyle w:val="ListBullet"/>
      </w:pPr>
      <w:r>
        <w:t>Preserve immutable originals and link each replacement to its predecessor, reason, authorizer, and timestamp.</w:t>
      </w:r>
    </w:p>
    <w:p>
      <w:pPr>
        <w:pStyle w:val="ListBullet"/>
      </w:pPr>
      <w:r>
        <w:t>3.</w:t>
      </w:r>
    </w:p>
    <w:p>
      <w:pPr>
        <w:pStyle w:val="ListBullet"/>
      </w:pPr>
      <w:r>
        <w:t>Acceptance only confirms intake controls; statistical validation, confidentiality, approval, and release remain pending.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