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Quality Before Yield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Gate agricultural analysis on decision-specific quality, coverage, timeliness, coherence, revisions, and subgroup or geographic gaps.</w:t>
            </w:r>
          </w:p>
        </w:tc>
      </w:tr>
    </w:tbl>
    <w:p>
      <w:pPr>
        <w:pStyle w:val="Heading1"/>
      </w:pPr>
      <w:r>
        <w:t>Why it matters</w:t>
      </w:r>
    </w:p>
    <w:p>
      <w:r>
        <w:t>Yield estimates may look precise while critical production areas, seasons, or crops remain systematically under-observed.</w:t>
      </w:r>
    </w:p>
    <w:p>
      <w:pPr>
        <w:pStyle w:val="Heading1"/>
      </w:pPr>
      <w:r>
        <w:t>Illustrative application</w:t>
      </w:r>
    </w:p>
    <w:p>
      <w:r>
        <w:t>Weighted coverage shows that missing reports from two high-production districts can invalidate an otherwise high national completion rate.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