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EXECUTIVE BRIEF</w:t>
      </w:r>
    </w:p>
    <w:p>
      <w:pPr>
        <w:pStyle w:val="Title"/>
      </w:pPr>
      <w:r>
        <w:t>Core Agricultural Indicators With Denominators</w:t>
      </w:r>
    </w:p>
    <w:p>
      <w:pPr>
        <w:spacing w:after="280"/>
      </w:pPr>
      <w:r>
        <w:rPr>
          <w:color w:val="5B6573"/>
          <w:sz w:val="26"/>
        </w:rPr>
        <w:t>What leaders should authorize, require, and refuse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PU-B07-C09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Decision status</w:t>
            </w:r>
          </w:p>
        </w:tc>
        <w:tc>
          <w:tcPr>
            <w:tcW w:type="dxa" w:w="6660"/>
          </w:tcPr>
          <w:p>
            <w:r>
              <w:t>Controlled learning asset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660"/>
          </w:tcPr>
          <w:p>
            <w:r>
              <w:t>Executives, programme owners, statisticians, technical leads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6660"/>
          </w:tcPr>
          <w:p>
            <w:r>
              <w:t>Synthetic examples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Executive takeaway: </w:t>
            </w:r>
            <w:r>
              <w:t>Publish agricultural indicators only with explicit numerators, denominators, populations, reference periods, geographic units, and revision status.</w:t>
            </w:r>
          </w:p>
        </w:tc>
      </w:tr>
    </w:tbl>
    <w:p>
      <w:pPr>
        <w:pStyle w:val="Heading1"/>
      </w:pPr>
      <w:r>
        <w:t>Why it matters</w:t>
      </w:r>
    </w:p>
    <w:p>
      <w:r>
        <w:t>Indicators without defensible denominators invite false comparisons across crops, districts, seasons, and reporting systems.</w:t>
      </w:r>
    </w:p>
    <w:p>
      <w:pPr>
        <w:pStyle w:val="Heading1"/>
      </w:pPr>
      <w:r>
        <w:t>Illustrative application</w:t>
      </w:r>
    </w:p>
    <w:p>
      <w:r>
        <w:t>A crop-loss rate identifies affected hectares as the numerator and assessed planted hectares—not all land—as the denominator.</w:t>
      </w:r>
    </w:p>
    <w:p>
      <w:pPr>
        <w:pStyle w:val="Heading1"/>
      </w:pPr>
      <w:r>
        <w:t>Minimum approval conditions</w:t>
      </w:r>
    </w:p>
    <w:p>
      <w:pPr>
        <w:pStyle w:val="ListBullet"/>
      </w:pPr>
      <w:r>
        <w:t>Named accountable owner and lawful purpose</w:t>
      </w:r>
    </w:p>
    <w:p>
      <w:pPr>
        <w:pStyle w:val="ListBullet"/>
      </w:pPr>
      <w:r>
        <w:t>Defined evidence, provenance, reference period, population, and geography</w:t>
      </w:r>
    </w:p>
    <w:p>
      <w:pPr>
        <w:pStyle w:val="ListBullet"/>
      </w:pPr>
      <w:r>
        <w:t>Decision-relevant validation and visible uncertainty</w:t>
      </w:r>
    </w:p>
    <w:p>
      <w:pPr>
        <w:pStyle w:val="ListBullet"/>
      </w:pPr>
      <w:r>
        <w:t>Documented abstention, referral, override, and incident processes</w:t>
      </w:r>
    </w:p>
    <w:p>
      <w:pPr>
        <w:pStyle w:val="ListBullet"/>
      </w:pPr>
      <w:r>
        <w:t>Accessibility, equity, security, retention, and retirement review</w:t>
      </w:r>
    </w:p>
    <w:p>
      <w:pPr>
        <w:pStyle w:val="Heading1"/>
      </w:pPr>
      <w:r>
        <w:t>Non-negotiable boundary</w:t>
      </w:r>
    </w:p>
    <w:p>
      <w:r>
        <w:t>The analytical system may inform review. It may not independently authorize benefits, sanctions, enforcement, clinical treatment, school exclusion, displacement, or another consequential 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V7_A_N04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