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V7_A_N05 - The Agricultural Decision Room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PU-B07-C10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V7_A_N05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an uncertainty-aware headline.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Prevent stale-data escalation.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Separate dashboard and release authority.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State the estimate, interval, reference period, source, and revision status together.</w:t>
      </w:r>
    </w:p>
    <w:p>
      <w:pPr>
        <w:pStyle w:val="Heading2"/>
      </w:pPr>
      <w:r>
        <w:t>Solution 2</w:t>
      </w:r>
    </w:p>
    <w:p>
      <w:r>
        <w:t>Require a freshness rule plus owner confirmation before escalation.</w:t>
      </w:r>
    </w:p>
    <w:p>
      <w:pPr>
        <w:pStyle w:val="Heading2"/>
      </w:pPr>
      <w:r>
        <w:t>Solution 3</w:t>
      </w:r>
    </w:p>
    <w:p>
      <w:r>
        <w:t>The dashboard organizes evidence; only the designated statistical or policy authority approves release and action.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V7_A_N05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