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Seasonal Crop Production Forecasting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Forecast seasonal crop production with time-aware validation, transparent baselines, calibrated uncertainty, and explicit revision and abstention rules.</w:t>
            </w:r>
          </w:p>
        </w:tc>
      </w:tr>
    </w:tbl>
    <w:p>
      <w:pPr>
        <w:pStyle w:val="Heading1"/>
      </w:pPr>
      <w:r>
        <w:t>Why it matters</w:t>
      </w:r>
    </w:p>
    <w:p>
      <w:r>
        <w:t>A precise point forecast can mislead procurement and food-security planning when seasonality, revisions, or uncertainty are hidden.</w:t>
      </w:r>
    </w:p>
    <w:p>
      <w:pPr>
        <w:pStyle w:val="Heading1"/>
      </w:pPr>
      <w:r>
        <w:t>Illustrative application</w:t>
      </w:r>
    </w:p>
    <w:p>
      <w:r>
        <w:t>A seasonal production forecast is compared with historical and trend baselines, then withheld when interval coverage or input quality fails.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V7_A_N06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