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Market Prices With Context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PU-B07-C12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Interpret agricultural market prices with product, grade, unit, market, season, transaction context, and policy-relevant uncertainty intact.</w:t>
            </w:r>
          </w:p>
        </w:tc>
      </w:tr>
    </w:tbl>
    <w:p>
      <w:pPr>
        <w:pStyle w:val="Heading1"/>
      </w:pPr>
      <w:r>
        <w:t>Why it matters</w:t>
      </w:r>
    </w:p>
    <w:p>
      <w:r>
        <w:t>Price comparisons can be false when grades, units, transaction levels, seasons, or market access conditions differ.</w:t>
      </w:r>
    </w:p>
    <w:p>
      <w:pPr>
        <w:pStyle w:val="Heading1"/>
      </w:pPr>
      <w:r>
        <w:t>Illustrative application</w:t>
      </w:r>
    </w:p>
    <w:p>
      <w:r>
        <w:t>A maize price alert distinguishes wholesale from retail prices and standardizes package units before comparing markets.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V7_A_N07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