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80"/>
      </w:pPr>
      <w:r>
        <w:rPr>
          <w:b/>
          <w:color w:val="9A6A00"/>
          <w:sz w:val="18"/>
        </w:rPr>
        <w:t>EXERCISES AND EXACT SOLUTIONS</w:t>
      </w:r>
    </w:p>
    <w:p>
      <w:pPr>
        <w:pStyle w:val="Title"/>
      </w:pPr>
      <w:r>
        <w:t>Market Prices With Context</w:t>
      </w:r>
    </w:p>
    <w:p>
      <w:pPr>
        <w:spacing w:after="280"/>
      </w:pPr>
      <w:r>
        <w:rPr>
          <w:color w:val="5B6573"/>
          <w:sz w:val="26"/>
        </w:rPr>
        <w:t>Independent practice, facilitated discussion, and assessment reference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700"/>
        <w:gridCol w:w="6660"/>
      </w:tblGrid>
      <w:tr>
        <w:trPr>
          <w:tblHeader w:val="true"/>
        </w:trPr>
        <w:tc>
          <w:tcPr>
            <w:tcW w:type="dxa" w:w="2700"/>
            <w:shd w:fill="E8EEF5"/>
          </w:tcPr>
          <w:p>
            <w:r>
              <w:rPr>
                <w:b/>
              </w:rPr>
              <w:t>Production Unit</w:t>
            </w:r>
          </w:p>
        </w:tc>
        <w:tc>
          <w:tcPr>
            <w:tcW w:type="dxa" w:w="6660"/>
          </w:tcPr>
          <w:p>
            <w:r>
              <w:t>PU-B07-C12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Notebook</w:t>
            </w:r>
          </w:p>
        </w:tc>
        <w:tc>
          <w:tcPr>
            <w:tcW w:type="dxa" w:w="6660"/>
          </w:tcPr>
          <w:p>
            <w:r>
              <w:t>V7_A_N07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Version</w:t>
            </w:r>
          </w:p>
        </w:tc>
        <w:tc>
          <w:tcPr>
            <w:tcW w:type="dxa" w:w="6660"/>
          </w:tcPr>
          <w:p>
            <w:r>
              <w:t>0.1</w:t>
            </w:r>
          </w:p>
        </w:tc>
      </w:tr>
      <w:tr>
        <w:tc>
          <w:tcPr>
            <w:tcW w:type="dxa" w:w="2700"/>
            <w:shd w:fill="E8EEF5"/>
          </w:tcPr>
          <w:p>
            <w:r>
              <w:rPr>
                <w:b/>
              </w:rPr>
              <w:t>Assessment boundary</w:t>
            </w:r>
          </w:p>
        </w:tc>
        <w:tc>
          <w:tcPr>
            <w:tcW w:type="dxa" w:w="6660"/>
          </w:tcPr>
          <w:p>
            <w:r>
              <w:t>Learning evidence—not operational authorization</w:t>
            </w:r>
          </w:p>
        </w:tc>
      </w:tr>
    </w:tbl>
    <w:p/>
    <w:p>
      <w:pPr>
        <w:pStyle w:val="Heading1"/>
      </w:pPr>
      <w:r>
        <w:t>Instructions</w:t>
      </w:r>
    </w:p>
    <w:p>
      <w:r>
        <w:t>Complete Part A before consulting the solutions. State assumptions explicitly. Where evidence is insufficient, write an abstention or escalation response rather than inventing precision.</w:t>
      </w:r>
    </w:p>
    <w:p>
      <w:pPr>
        <w:pStyle w:val="Heading2"/>
      </w:pPr>
      <w:r>
        <w:t>Exercise 1</w:t>
      </w:r>
    </w:p>
    <w:p>
      <w:r>
        <w:t>Add wholesale and farmgate series without mixing levels.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2</w:t>
      </w:r>
    </w:p>
    <w:p>
      <w:r>
        <w:t>Harmonize a 100-kg sack to kilograms.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3</w:t>
      </w:r>
    </w:p>
    <w:p>
      <w:r>
        <w:t>Compare nominal and real alerts.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pPr>
        <w:pStyle w:val="Heading2"/>
      </w:pPr>
      <w:r>
        <w:t>Exercise 4</w:t>
      </w:r>
    </w:p>
    <w:p>
      <w:r>
        <w:t>Explain why price weights cannot become budget shares automatically.</w:t>
      </w:r>
    </w:p>
    <w:p>
      <w:pPr>
        <w:pStyle w:val="ListBullet"/>
      </w:pPr>
      <w:r>
        <w:t>Required output: a concise decision-ready response with owner, evidence, uncertainty, and boundary where applicable.</w:t>
      </w:r>
    </w:p>
    <w:p>
      <w:r>
        <w:br w:type="page"/>
      </w:r>
    </w:p>
    <w:p>
      <w:pPr>
        <w:pStyle w:val="Heading1"/>
      </w:pPr>
      <w:r>
        <w:t>Exact solutions and scoring guide</w:t>
      </w:r>
    </w:p>
    <w:p>
      <w:pPr>
        <w:pStyle w:val="Heading2"/>
      </w:pPr>
      <w:r>
        <w:t>Solution 1</w:t>
      </w:r>
    </w:p>
    <w:p>
      <w:r>
        <w:t>Preserve transaction level and compare within compatible panels.</w:t>
      </w:r>
    </w:p>
    <w:p>
      <w:pPr>
        <w:pStyle w:val="Heading2"/>
      </w:pPr>
      <w:r>
        <w:t>Solution 2</w:t>
      </w:r>
    </w:p>
    <w:p>
      <w:r>
        <w:t>Divide the sack price by 100 only after validating net weight and grade.</w:t>
      </w:r>
    </w:p>
    <w:p>
      <w:pPr>
        <w:pStyle w:val="Heading2"/>
      </w:pPr>
      <w:r>
        <w:t>Solution 3</w:t>
      </w:r>
    </w:p>
    <w:p>
      <w:r>
        <w:t>Deflate with a documented index and report both interpretations.</w:t>
      </w:r>
    </w:p>
    <w:p>
      <w:pPr>
        <w:pStyle w:val="Heading2"/>
      </w:pPr>
      <w:r>
        <w:t>Solution 4</w:t>
      </w:r>
    </w:p>
    <w:p>
      <w:r>
        <w:t>Prices do not encode objectives, needs, distribution, externalities, constraints, uncertainty, or legal authority.</w:t>
      </w:r>
    </w:p>
    <w:p>
      <w:pPr>
        <w:pStyle w:val="Heading1"/>
      </w:pPr>
      <w:r>
        <w:t>Scoring rubric</w:t>
      </w:r>
    </w:p>
    <w:tbl>
      <w:tblPr>
        <w:tblStyle w:val="TableGrid"/>
        <w:tblW w:type="dxa" w:w="9360"/>
        <w:tblLayout w:type="fixed"/>
        <w:tblLook w:firstColumn="1" w:firstRow="1" w:lastColumn="0" w:lastRow="0" w:noHBand="0" w:noVBand="1" w:val="04A0"/>
        <w:tblInd w:w="120" w:type="dxa"/>
      </w:tblPr>
      <w:tblGrid>
        <w:gridCol w:w="2000"/>
        <w:gridCol w:w="3680"/>
        <w:gridCol w:w="3680"/>
      </w:tblGrid>
      <w:tr>
        <w:trPr>
          <w:tblHeader w:val="true"/>
        </w:trPr>
        <w:tc>
          <w:tcPr>
            <w:tcW w:type="dxa" w:w="2000"/>
            <w:shd w:fill="E8EEF5"/>
          </w:tcPr>
          <w:p>
            <w:r>
              <w:rPr>
                <w:b/>
              </w:rPr>
              <w:t>Criterion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Strong evidence</w:t>
            </w:r>
          </w:p>
        </w:tc>
        <w:tc>
          <w:tcPr>
            <w:tcW w:type="dxa" w:w="3680"/>
            <w:shd w:fill="E8EEF5"/>
          </w:tcPr>
          <w:p>
            <w:r>
              <w:rPr>
                <w:b/>
              </w:rPr>
              <w:t>Revision required</w:t>
            </w:r>
          </w:p>
        </w:tc>
      </w:tr>
      <w:tr>
        <w:tc>
          <w:tcPr>
            <w:tcW w:type="dxa" w:w="2000"/>
          </w:tcPr>
          <w:p>
            <w:r>
              <w:t>Decision framing</w:t>
            </w:r>
          </w:p>
        </w:tc>
        <w:tc>
          <w:tcPr>
            <w:tcW w:type="dxa" w:w="3680"/>
          </w:tcPr>
          <w:p>
            <w:r>
              <w:t>Owner, action, horizon, authority named</w:t>
            </w:r>
          </w:p>
        </w:tc>
        <w:tc>
          <w:tcPr>
            <w:tcW w:type="dxa" w:w="3680"/>
          </w:tcPr>
          <w:p>
            <w:r>
              <w:t>Model output substituted for decision</w:t>
            </w:r>
          </w:p>
        </w:tc>
      </w:tr>
      <w:tr>
        <w:tc>
          <w:tcPr>
            <w:tcW w:type="dxa" w:w="2000"/>
          </w:tcPr>
          <w:p>
            <w:r>
              <w:t>Evidence</w:t>
            </w:r>
          </w:p>
        </w:tc>
        <w:tc>
          <w:tcPr>
            <w:tcW w:type="dxa" w:w="3680"/>
          </w:tcPr>
          <w:p>
            <w:r>
              <w:t>Concepts, grain, provenance, limits explicit</w:t>
            </w:r>
          </w:p>
        </w:tc>
        <w:tc>
          <w:tcPr>
            <w:tcW w:type="dxa" w:w="3680"/>
          </w:tcPr>
          <w:p>
            <w:r>
              <w:t>Data treated as self-explanatory</w:t>
            </w:r>
          </w:p>
        </w:tc>
      </w:tr>
      <w:tr>
        <w:tc>
          <w:tcPr>
            <w:tcW w:type="dxa" w:w="2000"/>
          </w:tcPr>
          <w:p>
            <w:r>
              <w:t>Uncertainty</w:t>
            </w:r>
          </w:p>
        </w:tc>
        <w:tc>
          <w:tcPr>
            <w:tcW w:type="dxa" w:w="3680"/>
          </w:tcPr>
          <w:p>
            <w:r>
              <w:t>Abstention/escalation used appropriately</w:t>
            </w:r>
          </w:p>
        </w:tc>
        <w:tc>
          <w:tcPr>
            <w:tcW w:type="dxa" w:w="3680"/>
          </w:tcPr>
          <w:p>
            <w:r>
              <w:t>False precision or hidden limitations</w:t>
            </w:r>
          </w:p>
        </w:tc>
      </w:tr>
      <w:tr>
        <w:tc>
          <w:tcPr>
            <w:tcW w:type="dxa" w:w="2000"/>
          </w:tcPr>
          <w:p>
            <w:r>
              <w:t>Governance</w:t>
            </w:r>
          </w:p>
        </w:tc>
        <w:tc>
          <w:tcPr>
            <w:tcW w:type="dxa" w:w="3680"/>
          </w:tcPr>
          <w:p>
            <w:r>
              <w:t>Human authority and safeguards retained</w:t>
            </w:r>
          </w:p>
        </w:tc>
        <w:tc>
          <w:tcPr>
            <w:tcW w:type="dxa" w:w="3680"/>
          </w:tcPr>
          <w:p>
            <w:r>
              <w:t>Authority silently delegated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573"/>
        <w:sz w:val="16"/>
      </w:rPr>
      <w:t xml:space="preserve">Controlled educational edition  |  </w:t>
    </w:r>
    <w:fldSimple w:instr="PAGE"/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rPr>
        <w:color w:val="5B6573"/>
        <w:sz w:val="16"/>
      </w:rPr>
      <w:t>SRAI BOOK 7  |  V7_A_N07 exercises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20"/>
      <w:ind w:left="720" w:hanging="360"/>
      <w:contextualSpacing/>
    </w:pPr>
    <w:rPr>
      <w:rFonts w:ascii="Calibri" w:hAnsi="Calibri"/>
      <w:sz w:val="22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