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Market Prices With Context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Interpret agricultural market prices with product, grade, unit, market, season, transaction context, and policy-relevant uncertainty intact.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Price comparisons can be false when grades, units, transaction levels, seasons, or market access conditions differ.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maize price alert distinguishes wholesale from retail prices and standardizes package units before comparing markets.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wholesale and farmgate series without mixing levels.</w:t>
      </w:r>
    </w:p>
    <w:p>
      <w:pPr>
        <w:pStyle w:val="ListBullet"/>
      </w:pPr>
      <w:r>
        <w:t>2.</w:t>
      </w:r>
    </w:p>
    <w:p>
      <w:pPr>
        <w:pStyle w:val="ListBullet"/>
      </w:pPr>
      <w:r>
        <w:t>Harmonize a 100-kg sack to kilograms.</w:t>
      </w:r>
    </w:p>
    <w:p>
      <w:pPr>
        <w:pStyle w:val="ListBullet"/>
      </w:pPr>
      <w:r>
        <w:t>3.</w:t>
      </w:r>
    </w:p>
    <w:p>
      <w:pPr>
        <w:pStyle w:val="ListBullet"/>
      </w:pPr>
      <w:r>
        <w:t>Compare nominal and real alerts.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price weights cannot become budget shares automatically.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Preserve transaction level and compare within compatible panels.</w:t>
      </w:r>
    </w:p>
    <w:p>
      <w:pPr>
        <w:pStyle w:val="ListBullet"/>
      </w:pPr>
      <w:r>
        <w:t>2.</w:t>
      </w:r>
    </w:p>
    <w:p>
      <w:pPr>
        <w:pStyle w:val="ListBullet"/>
      </w:pPr>
      <w:r>
        <w:t>Divide the sack price by 100 only after validating net weight and grade.</w:t>
      </w:r>
    </w:p>
    <w:p>
      <w:pPr>
        <w:pStyle w:val="ListBullet"/>
      </w:pPr>
      <w:r>
        <w:t>3.</w:t>
      </w:r>
    </w:p>
    <w:p>
      <w:pPr>
        <w:pStyle w:val="ListBullet"/>
      </w:pPr>
      <w:r>
        <w:t>Deflate with a documented index and report both interpretations.</w:t>
      </w:r>
    </w:p>
    <w:p>
      <w:pPr>
        <w:pStyle w:val="ListBullet"/>
      </w:pPr>
      <w:r>
        <w:t>4.</w:t>
      </w:r>
    </w:p>
    <w:p>
      <w:pPr>
        <w:pStyle w:val="ListBullet"/>
      </w:pPr>
      <w:r>
        <w:t>Prices do not encode objectives, needs, distribution, externalities, constraints, uncertainty, or legal authority.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