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Rainfall and Drought Impact Monitoring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Link rainfall anomalies to exposure and observed agricultural impacts before escalating drought-related decisions.</w:t>
            </w:r>
          </w:p>
        </w:tc>
      </w:tr>
    </w:tbl>
    <w:p>
      <w:pPr>
        <w:pStyle w:val="Heading1"/>
      </w:pPr>
      <w:r>
        <w:t>Why it matters</w:t>
      </w:r>
    </w:p>
    <w:p>
      <w:r>
        <w:t>Rainfall deficit alone does not prove crop loss, household impact, or the need for a specific intervention.</w:t>
      </w:r>
    </w:p>
    <w:p>
      <w:pPr>
        <w:pStyle w:val="Heading1"/>
      </w:pPr>
      <w:r>
        <w:t>Illustrative application</w:t>
      </w:r>
    </w:p>
    <w:p>
      <w:r>
        <w:t>A rainfall deficit is combined with crop calendars, geographic coverage, and field observations before a district is referred for review.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V7_A_N08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