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Rainfall and Drought Impact Monitoring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Link rainfall anomalies to exposure and observed agricultural impacts before escalating drought-related decisions.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Rainfall deficit alone does not prove crop loss, household impact, or the need for a specific intervention.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rainfall deficit is combined with crop calendars, geographic coverage, and field observations before a district is referred for review.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a standardized precipitation index with a documented reference period.</w:t>
      </w:r>
    </w:p>
    <w:p>
      <w:pPr>
        <w:pStyle w:val="ListBullet"/>
      </w:pPr>
      <w:r>
        <w:t>2.</w:t>
      </w:r>
    </w:p>
    <w:p>
      <w:pPr>
        <w:pStyle w:val="ListBullet"/>
      </w:pPr>
      <w:r>
        <w:t>Compare station-only and satellite-assisted results.</w:t>
      </w:r>
    </w:p>
    <w:p>
      <w:pPr>
        <w:pStyle w:val="ListBullet"/>
      </w:pPr>
      <w:r>
        <w:t>3.</w:t>
      </w:r>
    </w:p>
    <w:p>
      <w:pPr>
        <w:pStyle w:val="ListBullet"/>
      </w:pPr>
      <w:r>
        <w:t>Add crop-specific calendars.</w:t>
      </w:r>
    </w:p>
    <w:p>
      <w:pPr>
        <w:pStyle w:val="ListBullet"/>
      </w:pPr>
      <w:r>
        <w:t>4.</w:t>
      </w:r>
    </w:p>
    <w:p>
      <w:pPr>
        <w:pStyle w:val="ListBullet"/>
      </w:pPr>
      <w:r>
        <w:t>Explain why a drought alert cannot determine compensation.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Fit/standardize precipitation over an approved long reference series and report distribution assumptions.</w:t>
      </w:r>
    </w:p>
    <w:p>
      <w:pPr>
        <w:pStyle w:val="ListBullet"/>
      </w:pPr>
      <w:r>
        <w:t>2.</w:t>
      </w:r>
    </w:p>
    <w:p>
      <w:pPr>
        <w:pStyle w:val="ListBullet"/>
      </w:pPr>
      <w:r>
        <w:t>Evaluate bias, coverage, spatial representativeness, and disagreement; route large disagreement to verification.</w:t>
      </w:r>
    </w:p>
    <w:p>
      <w:pPr>
        <w:pStyle w:val="ListBullet"/>
      </w:pPr>
      <w:r>
        <w:t>3.</w:t>
      </w:r>
    </w:p>
    <w:p>
      <w:pPr>
        <w:pStyle w:val="ListBullet"/>
      </w:pPr>
      <w:r>
        <w:t>Join locally validated crop-stage dates and propagate calendar uncertainty.</w:t>
      </w:r>
    </w:p>
    <w:p>
      <w:pPr>
        <w:pStyle w:val="ListBullet"/>
      </w:pPr>
      <w:r>
        <w:t>4.</w:t>
      </w:r>
    </w:p>
    <w:p>
      <w:pPr>
        <w:pStyle w:val="ListBullet"/>
      </w:pPr>
      <w:r>
        <w:t>Compensation also requires legal criteria, verified losses, exposure, eligibility, budgets, appeals, and authorized decisions.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