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Earlier Signals, Safer Escalation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PU-B07-C14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Combine crop-risk and food-security signals into an early-warning workflow with severity, persistence, corroboration, capacity, and escalation controls.</w:t>
            </w:r>
          </w:p>
        </w:tc>
      </w:tr>
    </w:tbl>
    <w:p>
      <w:pPr>
        <w:pStyle w:val="Heading1"/>
      </w:pPr>
      <w:r>
        <w:t>Why it matters</w:t>
      </w:r>
    </w:p>
    <w:p>
      <w:r>
        <w:t>Early-warning systems can generate harmful false alarms or dangerous silence when thresholds and escalation duties are unclear.</w:t>
      </w:r>
    </w:p>
    <w:p>
      <w:pPr>
        <w:pStyle w:val="Heading1"/>
      </w:pPr>
      <w:r>
        <w:t>Illustrative application</w:t>
      </w:r>
    </w:p>
    <w:p>
      <w:r>
        <w:t>A persistent multi-source risk signal triggers a time-bound analyst review rather than an automatic food-security classification.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V7_A_N09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