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Earlier Signals, Safer Escalation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Combine crop-risk and food-security signals into an early-warning workflow with severity, persistence, corroboration, capacity, and escalation controls.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Early-warning systems can generate harmful false alarms or dangerous silence when thresholds and escalation duties are unclear.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persistent multi-source risk signal triggers a time-bound analyst review rather than an automatic food-security classification.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conflict/access constraints.</w:t>
      </w:r>
    </w:p>
    <w:p>
      <w:pPr>
        <w:pStyle w:val="ListBullet"/>
      </w:pPr>
      <w:r>
        <w:t>2.</w:t>
      </w:r>
    </w:p>
    <w:p>
      <w:pPr>
        <w:pStyle w:val="ListBullet"/>
      </w:pPr>
      <w:r>
        <w:t>Explain why indicators should not be averaged blindly.</w:t>
      </w:r>
    </w:p>
    <w:p>
      <w:pPr>
        <w:pStyle w:val="ListBullet"/>
      </w:pPr>
      <w:r>
        <w:t>3.</w:t>
      </w:r>
    </w:p>
    <w:p>
      <w:pPr>
        <w:pStyle w:val="ListBullet"/>
      </w:pPr>
      <w:r>
        <w:t>Design an escalation protocol.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Add a dated, sourced accessibility field and abstain where observation is unsafe.</w:t>
      </w:r>
    </w:p>
    <w:p>
      <w:pPr>
        <w:pStyle w:val="ListBullet"/>
      </w:pPr>
      <w:r>
        <w:t>2.</w:t>
      </w:r>
    </w:p>
    <w:p>
      <w:pPr>
        <w:pStyle w:val="ListBullet"/>
      </w:pPr>
      <w:r>
        <w:t>Scales and meanings differ; aggregation requires explicit normalization, weights, and sensitivity.</w:t>
      </w:r>
    </w:p>
    <w:p>
      <w:pPr>
        <w:pStyle w:val="ListBullet"/>
      </w:pPr>
      <w:r>
        <w:t>3.</w:t>
      </w:r>
    </w:p>
    <w:p>
      <w:pPr>
        <w:pStyle w:val="ListBullet"/>
      </w:pPr>
      <w:r>
        <w:t>Specify verification owner, deadline, corroboration, action authority, communication, and closure criteria.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