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Satellites Need Ground Truth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Integrate remote-sensing evidence only after documenting spatial resolution, temporal alignment, cloud and sensor limits, ground truth, and uncertainty.</w:t>
            </w:r>
          </w:p>
        </w:tc>
      </w:tr>
    </w:tbl>
    <w:p>
      <w:pPr>
        <w:pStyle w:val="Heading1"/>
      </w:pPr>
      <w:r>
        <w:t>Why it matters</w:t>
      </w:r>
    </w:p>
    <w:p>
      <w:r>
        <w:t>Satellite signals can be visually persuasive while measuring the wrong land cover, season, geography, or agricultural condition.</w:t>
      </w:r>
    </w:p>
    <w:p>
      <w:pPr>
        <w:pStyle w:val="Heading1"/>
      </w:pPr>
      <w:r>
        <w:t>Illustrative application</w:t>
      </w:r>
    </w:p>
    <w:p>
      <w:r>
        <w:t>A vegetation anomaly is checked against field observations and crop masks before it informs a production-risk brief.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V7_A_N10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