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9A6A00"/>
          <w:sz w:val="18"/>
        </w:rPr>
        <w:t>EXERCISES AND EXACT SOLUTIONS</w:t>
      </w:r>
    </w:p>
    <w:p>
      <w:pPr>
        <w:pStyle w:val="Title"/>
      </w:pPr>
      <w:r>
        <w:t>Satellites Need Ground Truth</w:t>
      </w:r>
    </w:p>
    <w:p>
      <w:pPr>
        <w:spacing w:after="280"/>
      </w:pPr>
      <w:r>
        <w:rPr>
          <w:color w:val="5B6573"/>
          <w:sz w:val="26"/>
        </w:rPr>
        <w:t>Independent practice, facilitated discussion, and assessment reference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shd w:fill="E8EEF5"/>
          </w:tcPr>
          <w:p>
            <w:r>
              <w:rPr>
                <w:b/>
              </w:rPr>
              <w:t>Production Unit</w:t>
            </w:r>
          </w:p>
        </w:tc>
        <w:tc>
          <w:tcPr>
            <w:tcW w:type="dxa" w:w="6660"/>
          </w:tcPr>
          <w:p>
            <w:r>
              <w:t>PU-B07-C15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b/>
              </w:rPr>
              <w:t>Notebook</w:t>
            </w:r>
          </w:p>
        </w:tc>
        <w:tc>
          <w:tcPr>
            <w:tcW w:type="dxa" w:w="6660"/>
          </w:tcPr>
          <w:p>
            <w:r>
              <w:t>V7_A_N10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6660"/>
          </w:tcPr>
          <w:p>
            <w:r>
              <w:t>0.1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b/>
              </w:rPr>
              <w:t>Assessment boundary</w:t>
            </w:r>
          </w:p>
        </w:tc>
        <w:tc>
          <w:tcPr>
            <w:tcW w:type="dxa" w:w="6660"/>
          </w:tcPr>
          <w:p>
            <w:r>
              <w:t>Learning evidence—not operational authorization</w:t>
            </w:r>
          </w:p>
        </w:tc>
      </w:tr>
    </w:tbl>
    <w:p/>
    <w:p>
      <w:pPr>
        <w:pStyle w:val="Heading1"/>
      </w:pPr>
      <w:r>
        <w:t>Instructions</w:t>
      </w:r>
    </w:p>
    <w:p>
      <w:r>
        <w:t>Complete Part A before consulting the solutions. State assumptions explicitly. Where evidence is insufficient, write an abstention or escalation response rather than inventing precision.</w:t>
      </w:r>
    </w:p>
    <w:p>
      <w:pPr>
        <w:pStyle w:val="Heading2"/>
      </w:pPr>
      <w:r>
        <w:t>Exercise 1</w:t>
      </w:r>
    </w:p>
    <w:p>
      <w:r>
        <w:t>Stratify validation sampling.</w:t>
      </w:r>
    </w:p>
    <w:p>
      <w:pPr>
        <w:pStyle w:val="ListBullet"/>
      </w:pPr>
      <w:r>
        <w:t>Required output: a concise decision-ready response with owner, evidence, uncertainty, and boundary where applicable.</w:t>
      </w:r>
    </w:p>
    <w:p>
      <w:pPr>
        <w:pStyle w:val="Heading2"/>
      </w:pPr>
      <w:r>
        <w:t>Exercise 2</w:t>
      </w:r>
    </w:p>
    <w:p>
      <w:r>
        <w:t>Explain resolution limits.</w:t>
      </w:r>
    </w:p>
    <w:p>
      <w:pPr>
        <w:pStyle w:val="ListBullet"/>
      </w:pPr>
      <w:r>
        <w:t>Required output: a concise decision-ready response with owner, evidence, uncertainty, and boundary where applicable.</w:t>
      </w:r>
    </w:p>
    <w:p>
      <w:pPr>
        <w:pStyle w:val="Heading2"/>
      </w:pPr>
      <w:r>
        <w:t>Exercise 3</w:t>
      </w:r>
    </w:p>
    <w:p>
      <w:r>
        <w:t>Add a change-detection check.</w:t>
      </w:r>
    </w:p>
    <w:p>
      <w:pPr>
        <w:pStyle w:val="ListBullet"/>
      </w:pPr>
      <w:r>
        <w:t>Required output: a concise decision-ready response with owner, evidence, uncertainty, and boundary where applicable.</w:t>
      </w:r>
    </w:p>
    <w:p>
      <w:r>
        <w:br w:type="page"/>
      </w:r>
    </w:p>
    <w:p>
      <w:pPr>
        <w:pStyle w:val="Heading1"/>
      </w:pPr>
      <w:r>
        <w:t>Exact solutions and scoring guide</w:t>
      </w:r>
    </w:p>
    <w:p>
      <w:pPr>
        <w:pStyle w:val="Heading2"/>
      </w:pPr>
      <w:r>
        <w:t>Solution 1</w:t>
      </w:r>
    </w:p>
    <w:p>
      <w:r>
        <w:t>Sample across zones, crop prevalence, terrain, and confidence classes with known inclusion probabilities.</w:t>
      </w:r>
    </w:p>
    <w:p>
      <w:pPr>
        <w:pStyle w:val="Heading2"/>
      </w:pPr>
      <w:r>
        <w:t>Solution 2</w:t>
      </w:r>
    </w:p>
    <w:p>
      <w:r>
        <w:t>Mixed pixels and small fields limit interpretation below pixel scale.</w:t>
      </w:r>
    </w:p>
    <w:p>
      <w:pPr>
        <w:pStyle w:val="Heading2"/>
      </w:pPr>
      <w:r>
        <w:t>Solution 3</w:t>
      </w:r>
    </w:p>
    <w:p>
      <w:r>
        <w:t>Hold legend and processing constant, quantify classification uncertainty, and verify apparent change in the field.</w:t>
      </w:r>
    </w:p>
    <w:p>
      <w:pPr>
        <w:pStyle w:val="Heading1"/>
      </w:pPr>
      <w:r>
        <w:t>Scoring rubric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000"/>
        <w:gridCol w:w="3680"/>
        <w:gridCol w:w="3680"/>
      </w:tblGrid>
      <w:tr>
        <w:trPr>
          <w:tblHeader w:val="true"/>
        </w:trPr>
        <w:tc>
          <w:tcPr>
            <w:tcW w:type="dxa" w:w="2000"/>
            <w:shd w:fill="E8EEF5"/>
          </w:tcPr>
          <w:p>
            <w:r>
              <w:rPr>
                <w:b/>
              </w:rPr>
              <w:t>Criterion</w:t>
            </w:r>
          </w:p>
        </w:tc>
        <w:tc>
          <w:tcPr>
            <w:tcW w:type="dxa" w:w="3680"/>
            <w:shd w:fill="E8EEF5"/>
          </w:tcPr>
          <w:p>
            <w:r>
              <w:rPr>
                <w:b/>
              </w:rPr>
              <w:t>Strong evidence</w:t>
            </w:r>
          </w:p>
        </w:tc>
        <w:tc>
          <w:tcPr>
            <w:tcW w:type="dxa" w:w="3680"/>
            <w:shd w:fill="E8EEF5"/>
          </w:tcPr>
          <w:p>
            <w:r>
              <w:rPr>
                <w:b/>
              </w:rPr>
              <w:t>Revision required</w:t>
            </w:r>
          </w:p>
        </w:tc>
      </w:tr>
      <w:tr>
        <w:tc>
          <w:tcPr>
            <w:tcW w:type="dxa" w:w="2000"/>
          </w:tcPr>
          <w:p>
            <w:r>
              <w:t>Decision framing</w:t>
            </w:r>
          </w:p>
        </w:tc>
        <w:tc>
          <w:tcPr>
            <w:tcW w:type="dxa" w:w="3680"/>
          </w:tcPr>
          <w:p>
            <w:r>
              <w:t>Owner, action, horizon, authority named</w:t>
            </w:r>
          </w:p>
        </w:tc>
        <w:tc>
          <w:tcPr>
            <w:tcW w:type="dxa" w:w="3680"/>
          </w:tcPr>
          <w:p>
            <w:r>
              <w:t>Model output substituted for decision</w:t>
            </w:r>
          </w:p>
        </w:tc>
      </w:tr>
      <w:tr>
        <w:tc>
          <w:tcPr>
            <w:tcW w:type="dxa" w:w="2000"/>
          </w:tcPr>
          <w:p>
            <w:r>
              <w:t>Evidence</w:t>
            </w:r>
          </w:p>
        </w:tc>
        <w:tc>
          <w:tcPr>
            <w:tcW w:type="dxa" w:w="3680"/>
          </w:tcPr>
          <w:p>
            <w:r>
              <w:t>Concepts, grain, provenance, limits explicit</w:t>
            </w:r>
          </w:p>
        </w:tc>
        <w:tc>
          <w:tcPr>
            <w:tcW w:type="dxa" w:w="3680"/>
          </w:tcPr>
          <w:p>
            <w:r>
              <w:t>Data treated as self-explanatory</w:t>
            </w:r>
          </w:p>
        </w:tc>
      </w:tr>
      <w:tr>
        <w:tc>
          <w:tcPr>
            <w:tcW w:type="dxa" w:w="2000"/>
          </w:tcPr>
          <w:p>
            <w:r>
              <w:t>Uncertainty</w:t>
            </w:r>
          </w:p>
        </w:tc>
        <w:tc>
          <w:tcPr>
            <w:tcW w:type="dxa" w:w="3680"/>
          </w:tcPr>
          <w:p>
            <w:r>
              <w:t>Abstention/escalation used appropriately</w:t>
            </w:r>
          </w:p>
        </w:tc>
        <w:tc>
          <w:tcPr>
            <w:tcW w:type="dxa" w:w="3680"/>
          </w:tcPr>
          <w:p>
            <w:r>
              <w:t>False precision or hidden limitations</w:t>
            </w:r>
          </w:p>
        </w:tc>
      </w:tr>
      <w:tr>
        <w:tc>
          <w:tcPr>
            <w:tcW w:type="dxa" w:w="2000"/>
          </w:tcPr>
          <w:p>
            <w:r>
              <w:t>Governance</w:t>
            </w:r>
          </w:p>
        </w:tc>
        <w:tc>
          <w:tcPr>
            <w:tcW w:type="dxa" w:w="3680"/>
          </w:tcPr>
          <w:p>
            <w:r>
              <w:t>Human authority and safeguards retained</w:t>
            </w:r>
          </w:p>
        </w:tc>
        <w:tc>
          <w:tcPr>
            <w:tcW w:type="dxa" w:w="3680"/>
          </w:tcPr>
          <w:p>
            <w:r>
              <w:t>Authority silently delegated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B6573"/>
        <w:sz w:val="16"/>
      </w:rPr>
      <w:t xml:space="preserve">Controlled educational edition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B6573"/>
        <w:sz w:val="16"/>
      </w:rPr>
      <w:t>SRAI BOOK 7  |  V7_A_N10 exercises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0B254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0B2545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/>
      <w:ind w:left="720" w:hanging="360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0"/>
      <w:ind w:left="720" w:hanging="360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