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Satellites Need Ground Truth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PU-B07-C15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V7_A_N10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Integrate remote-sensing evidence only after documenting spatial resolution, temporal alignment, cloud and sensor limits, ground truth, and uncertainty.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Satellite signals can be visually persuasive while measuring the wrong land cover, season, geography, or agricultural condition.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A vegetation anomaly is checked against field observations and crop masks before it informs a production-risk brief.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Stratify validation sampling.</w:t>
      </w:r>
    </w:p>
    <w:p>
      <w:pPr>
        <w:pStyle w:val="ListBullet"/>
      </w:pPr>
      <w:r>
        <w:t>2.</w:t>
      </w:r>
    </w:p>
    <w:p>
      <w:pPr>
        <w:pStyle w:val="ListBullet"/>
      </w:pPr>
      <w:r>
        <w:t>Explain resolution limits.</w:t>
      </w:r>
    </w:p>
    <w:p>
      <w:pPr>
        <w:pStyle w:val="ListBullet"/>
      </w:pPr>
      <w:r>
        <w:t>3.</w:t>
      </w:r>
    </w:p>
    <w:p>
      <w:pPr>
        <w:pStyle w:val="ListBullet"/>
      </w:pPr>
      <w:r>
        <w:t>Add a change-detection check.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Sample across zones, crop prevalence, terrain, and confidence classes with known inclusion probabilities.</w:t>
      </w:r>
    </w:p>
    <w:p>
      <w:pPr>
        <w:pStyle w:val="ListBullet"/>
      </w:pPr>
      <w:r>
        <w:t>2.</w:t>
      </w:r>
    </w:p>
    <w:p>
      <w:pPr>
        <w:pStyle w:val="ListBullet"/>
      </w:pPr>
      <w:r>
        <w:t>Mixed pixels and small fields limit interpretation below pixel scale.</w:t>
      </w:r>
    </w:p>
    <w:p>
      <w:pPr>
        <w:pStyle w:val="ListBullet"/>
      </w:pPr>
      <w:r>
        <w:t>3.</w:t>
      </w:r>
    </w:p>
    <w:p>
      <w:pPr>
        <w:pStyle w:val="ListBullet"/>
      </w:pPr>
      <w:r>
        <w:t>Hold legend and processing constant, quantify classification uncertainty, and verify apparent change in the field.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V7_A_N10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