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Agricultural Census and Frame Intelligence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Govern agricultural census and frame intelligence through explicit units, coverage rules, update cycles, duplication controls, and traceable frame maintenance.</w:t>
            </w:r>
          </w:p>
        </w:tc>
      </w:tr>
    </w:tbl>
    <w:p>
      <w:pPr>
        <w:pStyle w:val="Heading1"/>
      </w:pPr>
      <w:r>
        <w:t>Why it matters</w:t>
      </w:r>
    </w:p>
    <w:p>
      <w:r>
        <w:t>A frame can look complete while omitting new farms, duplicating holdings, or confusing households, parcels, and enterprises.</w:t>
      </w:r>
    </w:p>
    <w:p>
      <w:pPr>
        <w:pStyle w:val="Heading1"/>
      </w:pPr>
      <w:r>
        <w:t>Illustrative application</w:t>
      </w:r>
    </w:p>
    <w:p>
      <w:r>
        <w:t>A farm frame separates households, holdings, parcels, and establishments while recording births, deaths, splits, merges, and coverage gaps.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V7_A_N11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