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Agricultural Census and Frame Intelligence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V7_A_N11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Govern agricultural census and frame intelligence through explicit units, coverage rules, update cycles, duplication controls, and traceable frame maintenance.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A frame can look complete while omitting new farms, duplicating holdings, or confusing households, parcels, and enterprises.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farm frame separates households, holdings, parcels, and establishments while recording births, deaths, splits, merges, and coverage gaps.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Replace the regional quota with a workload budget.</w:t>
      </w:r>
    </w:p>
    <w:p>
      <w:pPr>
        <w:pStyle w:val="ListBullet"/>
      </w:pPr>
      <w:r>
        <w:t>2.</w:t>
      </w:r>
    </w:p>
    <w:p>
      <w:pPr>
        <w:pStyle w:val="ListBullet"/>
      </w:pPr>
      <w:r>
        <w:t>Test a different staleness normalization.</w:t>
      </w:r>
    </w:p>
    <w:p>
      <w:pPr>
        <w:pStyle w:val="ListBullet"/>
      </w:pPr>
      <w:r>
        <w:t>3.</w:t>
      </w:r>
    </w:p>
    <w:p>
      <w:pPr>
        <w:pStyle w:val="ListBullet"/>
      </w:pPr>
      <w:r>
        <w:t>Explain why administrative counts cannot automatically replace listing counts.</w:t>
      </w:r>
    </w:p>
    <w:p>
      <w:pPr>
        <w:pStyle w:val="ListBullet"/>
      </w:pPr>
      <w:r>
        <w:t>4.</w:t>
      </w:r>
    </w:p>
    <w:p>
      <w:pPr>
        <w:pStyle w:val="ListBullet"/>
      </w:pPr>
      <w:r>
        <w:t>Draft a field-verification outcome code list.</w:t>
      </w:r>
    </w:p>
    <w:p>
      <w:pPr>
        <w:pStyle w:val="Heading1"/>
      </w:pPr>
      <w:r>
        <w:t>Answer key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