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Samples That Can Represent a Nation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PU-B07-C17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Design agricultural samples whose target population, frame, stratification, selection probabilities, weights, and precision support national decisions.</w:t>
            </w:r>
          </w:p>
        </w:tc>
      </w:tr>
    </w:tbl>
    <w:p>
      <w:pPr>
        <w:pStyle w:val="Heading1"/>
      </w:pPr>
      <w:r>
        <w:t>Why it matters</w:t>
      </w:r>
    </w:p>
    <w:p>
      <w:r>
        <w:t>A large sample is not nationally representative when coverage, selection probabilities, or weights are defective.</w:t>
      </w:r>
    </w:p>
    <w:p>
      <w:pPr>
        <w:pStyle w:val="Heading1"/>
      </w:pPr>
      <w:r>
        <w:t>Illustrative application</w:t>
      </w:r>
    </w:p>
    <w:p>
      <w:r>
        <w:t>A stratified sample preserves selection probabilities and calculates weights, nonresponse adjustments, and design-based precision.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V7_A_N12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