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Samples That Can Represent a Nation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Design agricultural samples whose target population, frame, stratification, selection probabilities, weights, and precision support national decisions.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large sample is not nationally representative when coverage, selection probabilities, or weights are defective.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stratified sample preserves selection probabilities and calculates weights, nonresponse adjustments, and design-based precision.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Explain why weights are required.</w:t>
      </w:r>
    </w:p>
    <w:p>
      <w:pPr>
        <w:pStyle w:val="ListBullet"/>
      </w:pPr>
      <w:r>
        <w:t>2.</w:t>
      </w:r>
    </w:p>
    <w:p>
      <w:pPr>
        <w:pStyle w:val="ListBullet"/>
      </w:pPr>
      <w:r>
        <w:t>Add cluster design effects.</w:t>
      </w:r>
    </w:p>
    <w:p>
      <w:pPr>
        <w:pStyle w:val="ListBullet"/>
      </w:pPr>
      <w:r>
        <w:t>3.</w:t>
      </w:r>
    </w:p>
    <w:p>
      <w:pPr>
        <w:pStyle w:val="ListBullet"/>
      </w:pPr>
      <w:r>
        <w:t>Design nonresponse adjustment.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Unequal inclusion probabilities require inverse-probability weights for population inference.</w:t>
      </w:r>
    </w:p>
    <w:p>
      <w:pPr>
        <w:pStyle w:val="ListBullet"/>
      </w:pPr>
      <w:r>
        <w:t>2.</w:t>
      </w:r>
    </w:p>
    <w:p>
      <w:pPr>
        <w:pStyle w:val="ListBullet"/>
      </w:pPr>
      <w:r>
        <w:t>Inflate the effective sample using justified intracluster correlation and cluster size assumptions.</w:t>
      </w:r>
    </w:p>
    <w:p>
      <w:pPr>
        <w:pStyle w:val="ListBullet"/>
      </w:pPr>
      <w:r>
        <w:t>3.</w:t>
      </w:r>
    </w:p>
    <w:p>
      <w:pPr>
        <w:pStyle w:val="ListBullet"/>
      </w:pPr>
      <w:r>
        <w:t>Define response cells or a response-propensity model using pre-outcome variables, cap extreme adjustments, and validate bias/variance.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