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V7_A_N15 - National Agricultural Intelligence Capstone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PU-B07-C20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Integrate governed agricultural evidence, forecasts, risks, referrals, capacity, and monitoring into one accountable national decision product.</w:t>
            </w:r>
          </w:p>
        </w:tc>
      </w:tr>
    </w:tbl>
    <w:p>
      <w:pPr>
        <w:pStyle w:val="Heading1"/>
      </w:pPr>
      <w:r>
        <w:t>Why it matters</w:t>
      </w:r>
    </w:p>
    <w:p>
      <w:r>
        <w:t>A capstone system can become a polished dashboard without accountability unless evidence and decision workflows remain connected.</w:t>
      </w:r>
    </w:p>
    <w:p>
      <w:pPr>
        <w:pStyle w:val="Heading1"/>
      </w:pPr>
      <w:r>
        <w:t>Illustrative application</w:t>
      </w:r>
    </w:p>
    <w:p>
      <w:r>
        <w:t>A national decision brief links census frames, survey estimates, forecasts, market signals, drought evidence, uncertainty, and action owners.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V7_A_N15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