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Outbreak Signals Before Alarm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Detect possible outbreaks through governed baselines, thresholds, persistence, corroboration, uncertainty, and authorized public-health escalation.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Premature alarms can cause panic, while delayed escalation can allow a genuine outbreak to spread.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syndromic signal exceeding a seasonal baseline is corroborated across facilities before epidemiological review.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a moving-baseline method.</w:t>
      </w:r>
    </w:p>
    <w:p>
      <w:pPr>
        <w:pStyle w:val="ListBullet"/>
      </w:pPr>
      <w:r>
        <w:t>2.</w:t>
      </w:r>
    </w:p>
    <w:p>
      <w:pPr>
        <w:pStyle w:val="ListBullet"/>
      </w:pPr>
      <w:r>
        <w:t>Test threshold sensitivity.</w:t>
      </w:r>
    </w:p>
    <w:p>
      <w:pPr>
        <w:pStyle w:val="ListBullet"/>
      </w:pPr>
      <w:r>
        <w:t>3.</w:t>
      </w:r>
    </w:p>
    <w:p>
      <w:pPr>
        <w:pStyle w:val="ListBullet"/>
      </w:pPr>
      <w:r>
        <w:t>Define a confirmation workflow.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public communication cannot be automated from this notebook.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only prior weeks, preserve seasonality, and avoid contaminating baselines with active events.</w:t>
      </w:r>
    </w:p>
    <w:p>
      <w:pPr>
        <w:pStyle w:val="ListBullet"/>
      </w:pPr>
      <w:r>
        <w:t>2.</w:t>
      </w:r>
    </w:p>
    <w:p>
      <w:pPr>
        <w:pStyle w:val="ListBullet"/>
      </w:pPr>
      <w:r>
        <w:t>Compare verified-event sensitivity, false alerts, delay, workload, and subgroup/geographic effects.</w:t>
      </w:r>
    </w:p>
    <w:p>
      <w:pPr>
        <w:pStyle w:val="ListBullet"/>
      </w:pPr>
      <w:r>
        <w:t>3.</w:t>
      </w:r>
    </w:p>
    <w:p>
      <w:pPr>
        <w:pStyle w:val="ListBullet"/>
      </w:pPr>
      <w:r>
        <w:t>Assign triage, data verification, epidemiological assessment, laboratory/clinical review, authorization, communication, closure, and retrospective review.</w:t>
      </w:r>
    </w:p>
    <w:p>
      <w:pPr>
        <w:pStyle w:val="ListBullet"/>
      </w:pPr>
      <w:r>
        <w:t>4.</w:t>
      </w:r>
    </w:p>
    <w:p>
      <w:pPr>
        <w:pStyle w:val="ListBullet"/>
      </w:pPr>
      <w:r>
        <w:t>Communication carries legal, scientific, behavioural, privacy, and political consequences and requires authorized contextual judgement.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