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Beds, Staff, Supplies: Forecasting Service Capacity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Forecast beds, staff, medicines, and service demand with time-aware baselines, uncertainty, constraints, and operational ownership.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Nominal bed counts can conceal unavailable staff, supplies, equipment, or referral capacity.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facility forecast links expected admissions to staffed beds, shift coverage, oxygen, and supply availability.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Use rolling-origin evaluation.</w:t>
      </w:r>
    </w:p>
    <w:p>
      <w:pPr>
        <w:pStyle w:val="ListBullet"/>
      </w:pPr>
      <w:r>
        <w:t>2.</w:t>
      </w:r>
    </w:p>
    <w:p>
      <w:pPr>
        <w:pStyle w:val="ListBullet"/>
      </w:pPr>
      <w:r>
        <w:t>Add separate emergency and elective demand.</w:t>
      </w:r>
    </w:p>
    <w:p>
      <w:pPr>
        <w:pStyle w:val="ListBullet"/>
      </w:pPr>
      <w:r>
        <w:t>3.</w:t>
      </w:r>
    </w:p>
    <w:p>
      <w:pPr>
        <w:pStyle w:val="ListBullet"/>
      </w:pPr>
      <w:r>
        <w:t>Model staff-hours as a constraint.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maximizing occupancy can be unsafe.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Reforecast from successive dates using only available history and score each horizon.</w:t>
      </w:r>
    </w:p>
    <w:p>
      <w:pPr>
        <w:pStyle w:val="ListBullet"/>
      </w:pPr>
      <w:r>
        <w:t>2.</w:t>
      </w:r>
    </w:p>
    <w:p>
      <w:pPr>
        <w:pStyle w:val="ListBullet"/>
      </w:pPr>
      <w:r>
        <w:t>Use distinct concepts, arrival processes, and intervention rules; do not aggregate incompatible demand.</w:t>
      </w:r>
    </w:p>
    <w:p>
      <w:pPr>
        <w:pStyle w:val="ListBullet"/>
      </w:pPr>
      <w:r>
        <w:t>3.</w:t>
      </w:r>
    </w:p>
    <w:p>
      <w:pPr>
        <w:pStyle w:val="ListBullet"/>
      </w:pPr>
      <w:r>
        <w:t>Convert workload through documented skill-mix and hours assumptions, then optimize under labour rules.</w:t>
      </w:r>
    </w:p>
    <w:p>
      <w:pPr>
        <w:pStyle w:val="ListBullet"/>
      </w:pPr>
      <w:r>
        <w:t>4.</w:t>
      </w:r>
    </w:p>
    <w:p>
      <w:pPr>
        <w:pStyle w:val="ListBullet"/>
      </w:pPr>
      <w:r>
        <w:t>High occupancy removes surge buffer, increases delay and infection/quality risks, and ignores case mix and staffing.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