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Maternal and Child Health: Support, Not Scoring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maternal and child health analytics to support timely human review and referral without scoring dignity, eligibility, or clinical worth.</w:t>
            </w:r>
          </w:p>
        </w:tc>
      </w:tr>
    </w:tbl>
    <w:p>
      <w:pPr>
        <w:pStyle w:val="Heading1"/>
      </w:pPr>
      <w:r>
        <w:t>Why it matters</w:t>
      </w:r>
    </w:p>
    <w:p>
      <w:r>
        <w:t>Individual risk scores can stigmatize patients or silently substitute for clinical judgment and informed care.</w:t>
      </w:r>
    </w:p>
    <w:p>
      <w:pPr>
        <w:pStyle w:val="Heading1"/>
      </w:pPr>
      <w:r>
        <w:t>Illustrative application</w:t>
      </w:r>
    </w:p>
    <w:p>
      <w:r>
        <w:t>A care-gap signal routes an authorized outreach review while the clinician retains diagnosis and treatment authority.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