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Maternal and Child Health: Support, Not Scoring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uncertainty for small denominators.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Protect privacy.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Separate access from quality.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interval estimates and suppress/aggregate unstable cells.</w:t>
      </w:r>
    </w:p>
    <w:p>
      <w:pPr>
        <w:pStyle w:val="Heading2"/>
      </w:pPr>
      <w:r>
        <w:t>Solution 2</w:t>
      </w:r>
    </w:p>
    <w:p>
      <w:r>
        <w:t>Minimize fields, control access, aggregate geography, audit disclosure, and prohibit individual re-identification.</w:t>
      </w:r>
    </w:p>
    <w:p>
      <w:pPr>
        <w:pStyle w:val="Heading2"/>
      </w:pPr>
      <w:r>
        <w:t>Solution 3</w:t>
      </w:r>
    </w:p>
    <w:p>
      <w:r>
        <w:t>Distance/utilization describe access; guideline adherence, outcomes, experience, and safety describe quality.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