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CANONICAL LESSON</w:t>
      </w:r>
    </w:p>
    <w:p>
      <w:pPr>
        <w:pStyle w:val="Title"/>
      </w:pPr>
      <w:r>
        <w:t>Maternal and Child Health: Support, Not Scoring</w:t>
      </w:r>
    </w:p>
    <w:p>
      <w:pPr>
        <w:spacing w:after="280"/>
      </w:pPr>
      <w:r>
        <w:rPr>
          <w:color w:val="5B6573"/>
          <w:sz w:val="26"/>
        </w:rPr>
        <w:t>Decision-centred foundations for accountable sector intelligence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PU-B07-C23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V7_B_N03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60"/>
          </w:tcPr>
          <w:p>
            <w:r>
              <w:t>Controlled educational draft v0.1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 boundary</w:t>
            </w:r>
          </w:p>
        </w:tc>
        <w:tc>
          <w:tcPr>
            <w:tcW w:type="dxa" w:w="6660"/>
          </w:tcPr>
          <w:p>
            <w:r>
              <w:t>Synthetic instructional data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Central decision: </w:t>
            </w:r>
            <w:r>
              <w:t>Use maternal and child health analytics to support timely human review and referral without scoring dignity, eligibility, or clinical worth.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Heading1"/>
      </w:pPr>
      <w:r>
        <w:t>Why this matters</w:t>
      </w:r>
    </w:p>
    <w:p>
      <w:r>
        <w:t>Individual risk scores can stigmatize patients or silently substitute for clinical judgment and informed care.</w:t>
      </w:r>
    </w:p>
    <w:p>
      <w:r>
        <w:t>The analytical workflow is useful only when evidence, uncertainty, authority, and action are connected explicitly. The model supports professional judgement; it does not replace accountable institutional authority.</w:t>
      </w:r>
    </w:p>
    <w:p>
      <w:pPr>
        <w:pStyle w:val="Heading1"/>
      </w:pPr>
      <w:r>
        <w:t>Worked cross-sector example</w:t>
      </w:r>
    </w:p>
    <w:p>
      <w:r>
        <w:t>A care-gap signal routes an authorized outreach review while the clinician retains diagnosis and treatment authority.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Boundary: </w:t>
            </w:r>
            <w:r>
              <w:t>The example supports learning and review. It does not constitute an official statistic, eligibility determination, enforcement action, clinical judgement, or operational authorization.</w:t>
            </w:r>
          </w:p>
        </w:tc>
      </w:tr>
    </w:tbl>
    <w:p>
      <w:pPr>
        <w:pStyle w:val="Heading1"/>
      </w:pPr>
      <w:r>
        <w:t>Practice and reflection</w:t>
      </w:r>
    </w:p>
    <w:p>
      <w:pPr>
        <w:pStyle w:val="ListBullet"/>
      </w:pPr>
      <w:r>
        <w:t>1.</w:t>
      </w:r>
    </w:p>
    <w:p>
      <w:pPr>
        <w:pStyle w:val="ListBullet"/>
      </w:pPr>
      <w:r>
        <w:t>Add uncertainty for small denominators.</w:t>
      </w:r>
    </w:p>
    <w:p>
      <w:pPr>
        <w:pStyle w:val="ListBullet"/>
      </w:pPr>
      <w:r>
        <w:t>2.</w:t>
      </w:r>
    </w:p>
    <w:p>
      <w:pPr>
        <w:pStyle w:val="ListBullet"/>
      </w:pPr>
      <w:r>
        <w:t>Protect privacy.</w:t>
      </w:r>
    </w:p>
    <w:p>
      <w:pPr>
        <w:pStyle w:val="ListBullet"/>
      </w:pPr>
      <w:r>
        <w:t>3.</w:t>
      </w:r>
    </w:p>
    <w:p>
      <w:pPr>
        <w:pStyle w:val="ListBullet"/>
      </w:pPr>
      <w:r>
        <w:t>Separate access from quality.</w:t>
      </w:r>
    </w:p>
    <w:p>
      <w:pPr>
        <w:pStyle w:val="Heading1"/>
      </w:pPr>
      <w:r>
        <w:t>Answer key</w:t>
      </w:r>
    </w:p>
    <w:p>
      <w:pPr>
        <w:pStyle w:val="ListBullet"/>
      </w:pPr>
      <w:r>
        <w:t>1.</w:t>
      </w:r>
    </w:p>
    <w:p>
      <w:pPr>
        <w:pStyle w:val="ListBullet"/>
      </w:pPr>
      <w:r>
        <w:t>Use interval estimates and suppress/aggregate unstable cells.</w:t>
      </w:r>
    </w:p>
    <w:p>
      <w:pPr>
        <w:pStyle w:val="ListBullet"/>
      </w:pPr>
      <w:r>
        <w:t>2.</w:t>
      </w:r>
    </w:p>
    <w:p>
      <w:pPr>
        <w:pStyle w:val="ListBullet"/>
      </w:pPr>
      <w:r>
        <w:t>Minimize fields, control access, aggregate geography, audit disclosure, and prohibit individual re-identification.</w:t>
      </w:r>
    </w:p>
    <w:p>
      <w:pPr>
        <w:pStyle w:val="ListBullet"/>
      </w:pPr>
      <w:r>
        <w:t>3.</w:t>
      </w:r>
    </w:p>
    <w:p>
      <w:pPr>
        <w:pStyle w:val="ListBullet"/>
      </w:pPr>
      <w:r>
        <w:t>Distance/utilization describe access; guideline adherence, outcomes, experience, and safety describe quality.</w:t>
      </w:r>
    </w:p>
    <w:p>
      <w:pPr>
        <w:pStyle w:val="Heading1"/>
      </w:pPr>
      <w:r>
        <w:t>Operational readiness checklist</w:t>
      </w:r>
    </w:p>
    <w:p>
      <w:pPr>
        <w:pStyle w:val="ListBullet"/>
      </w:pPr>
      <w:r>
        <w:t>Purpose and decision owner are named.</w:t>
      </w:r>
    </w:p>
    <w:p>
      <w:pPr>
        <w:pStyle w:val="ListBullet"/>
      </w:pPr>
      <w:r>
        <w:t>Evidence definitions, provenance, and lawful access are documented.</w:t>
      </w:r>
    </w:p>
    <w:p>
      <w:pPr>
        <w:pStyle w:val="ListBullet"/>
      </w:pPr>
      <w:r>
        <w:t>Uncertainty and abstention are visible.</w:t>
      </w:r>
    </w:p>
    <w:p>
      <w:pPr>
        <w:pStyle w:val="ListBullet"/>
      </w:pPr>
      <w:r>
        <w:t>Human review, escalation, monitoring, incident response, and retirement are assigned.</w:t>
      </w:r>
    </w:p>
    <w:p>
      <w:pPr>
        <w:pStyle w:val="ListBullet"/>
      </w:pPr>
      <w:r>
        <w:t>Equity, accessibility, security, and sector-specific approval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V7_B_N03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