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Distance Is Not Access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Measure health-service access through travel time, affordability, availability, acceptability, quality, disability, and geographic equity.</w:t>
            </w:r>
          </w:p>
        </w:tc>
      </w:tr>
    </w:tbl>
    <w:p>
      <w:pPr>
        <w:pStyle w:val="Heading1"/>
      </w:pPr>
      <w:r>
        <w:t>Why it matters</w:t>
      </w:r>
    </w:p>
    <w:p>
      <w:r>
        <w:t>Straight-line distance can create a false picture of access and hide systematic exclusion.</w:t>
      </w:r>
    </w:p>
    <w:p>
      <w:pPr>
        <w:pStyle w:val="Heading1"/>
      </w:pPr>
      <w:r>
        <w:t>Illustrative application</w:t>
      </w:r>
    </w:p>
    <w:p>
      <w:r>
        <w:t>Two communities at equal distance have different access because roads, transport cost, opening hours, and service readiness differ.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