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Trust the Health Indicator Only After Testing Its Denominator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Trust a health indicator only after testing its numerator, denominator, target population, reference period, coverage, and revision status.</w:t>
            </w:r>
          </w:p>
        </w:tc>
      </w:tr>
    </w:tbl>
    <w:p>
      <w:pPr>
        <w:pStyle w:val="Heading1"/>
      </w:pPr>
      <w:r>
        <w:t>Why it matters</w:t>
      </w:r>
    </w:p>
    <w:p>
      <w:r>
        <w:t>A plausible rate can mislead when its denominator excludes, duplicates, or misclassifies the population at risk.</w:t>
      </w:r>
    </w:p>
    <w:p>
      <w:pPr>
        <w:pStyle w:val="Heading1"/>
      </w:pPr>
      <w:r>
        <w:t>Illustrative application</w:t>
      </w:r>
    </w:p>
    <w:p>
      <w:r>
        <w:t>A maternal-care rate uses eligible pregnancies rather than all women as its denominator.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V7_B_N06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