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Trust the Health Indicator Only After Testing Its Denominator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Trust a health indicator only after testing its numerator, denominator, target population, reference period, coverage, and revision status.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plausible rate can mislead when its denominator excludes, duplicates, or misclassifies the population at risk.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maternal-care rate uses eligible pregnancies rather than all women as its denominator.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Detect duplicates.</w:t>
      </w:r>
    </w:p>
    <w:p>
      <w:pPr>
        <w:pStyle w:val="ListBullet"/>
      </w:pPr>
      <w:r>
        <w:t>2.</w:t>
      </w:r>
    </w:p>
    <w:p>
      <w:pPr>
        <w:pStyle w:val="ListBullet"/>
      </w:pPr>
      <w:r>
        <w:t>Reconcile changing catchments.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missing is not zero.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event/report keys, timestamps, source identifiers, and duplicate-resolution rules.</w:t>
      </w:r>
    </w:p>
    <w:p>
      <w:pPr>
        <w:pStyle w:val="ListBullet"/>
      </w:pPr>
      <w:r>
        <w:t>2.</w:t>
      </w:r>
    </w:p>
    <w:p>
      <w:pPr>
        <w:pStyle w:val="ListBullet"/>
      </w:pPr>
      <w:r>
        <w:t>Version facility catchments and population denominators by period.</w:t>
      </w:r>
    </w:p>
    <w:p>
      <w:pPr>
        <w:pStyle w:val="ListBullet"/>
      </w:pPr>
      <w:r>
        <w:t>3.</w:t>
      </w:r>
    </w:p>
    <w:p>
      <w:pPr>
        <w:pStyle w:val="ListBullet"/>
      </w:pPr>
      <w:r>
        <w:t>Zero asserts no events; missing means no usable observation and requires follow-up or principled estimation with uncertainty.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