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Resistance Signals Require Stewardship, Not Panic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Interpret antimicrobial-resistance signals with laboratory quality, sampling context, clinical relevance, uncertainty, and stewardship authority.</w:t>
            </w:r>
          </w:p>
        </w:tc>
      </w:tr>
    </w:tbl>
    <w:p>
      <w:pPr>
        <w:pStyle w:val="Heading1"/>
      </w:pPr>
      <w:r>
        <w:t>Why it matters</w:t>
      </w:r>
    </w:p>
    <w:p>
      <w:r>
        <w:t>Decontextualized resistance signals can cause panic, inappropriate prescribing changes, or false reassurance.</w:t>
      </w:r>
    </w:p>
    <w:p>
      <w:pPr>
        <w:pStyle w:val="Heading1"/>
      </w:pPr>
      <w:r>
        <w:t>Illustrative application</w:t>
      </w:r>
    </w:p>
    <w:p>
      <w:r>
        <w:t>A resistance increase is reviewed with specimen mix, testing coverage, facility context, and prescribing practice.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V7_B_N07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