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Resistance Signals Require Stewardship, Not Panic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Deduplicate isolates.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Handle breakpoint changes.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resistance rates are not prescribing rules.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the agreed first-isolate-per-patient/episode/specimen rule.</w:t>
      </w:r>
    </w:p>
    <w:p>
      <w:pPr>
        <w:pStyle w:val="Heading2"/>
      </w:pPr>
      <w:r>
        <w:t>Solution 2</w:t>
      </w:r>
    </w:p>
    <w:p>
      <w:r>
        <w:t>Reinterpret stored measurements where valid or stratify by breakpoint version; do not splice incomparable rates.</w:t>
      </w:r>
    </w:p>
    <w:p>
      <w:pPr>
        <w:pStyle w:val="Heading2"/>
      </w:pPr>
      <w:r>
        <w:t>Solution 3</w:t>
      </w:r>
    </w:p>
    <w:p>
      <w:r>
        <w:t>Treatment also depends on syndrome, specimen, patient factors, severity, local guidance, toxicity, availability, and clinician judgment.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V7_B_N07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