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9A6A00"/>
          <w:sz w:val="18"/>
        </w:rPr>
        <w:t>CANONICAL LESSON</w:t>
      </w:r>
    </w:p>
    <w:p>
      <w:pPr>
        <w:pStyle w:val="Title"/>
      </w:pPr>
      <w:r>
        <w:t>Resistance Signals Require Stewardship, Not Panic</w:t>
      </w:r>
    </w:p>
    <w:p>
      <w:pPr>
        <w:spacing w:after="280"/>
      </w:pPr>
      <w:r>
        <w:rPr>
          <w:color w:val="5B6573"/>
          <w:sz w:val="26"/>
        </w:rPr>
        <w:t>Decision-centred foundations for accountable sector intelligence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</w:tcPr>
          <w:p>
            <w:r>
              <w:rPr>
                <w:b/>
              </w:rPr>
              <w:t>Production Unit</w:t>
            </w:r>
          </w:p>
        </w:tc>
        <w:tc>
          <w:tcPr>
            <w:tcW w:type="dxa" w:w="6660"/>
          </w:tcPr>
          <w:p>
            <w:r>
              <w:t>PU-B07-C27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Notebook</w:t>
            </w:r>
          </w:p>
        </w:tc>
        <w:tc>
          <w:tcPr>
            <w:tcW w:type="dxa" w:w="6660"/>
          </w:tcPr>
          <w:p>
            <w:r>
              <w:t>V7_B_N07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6660"/>
          </w:tcPr>
          <w:p>
            <w:r>
              <w:t>Controlled educational draft v0.1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Data boundary</w:t>
            </w:r>
          </w:p>
        </w:tc>
        <w:tc>
          <w:tcPr>
            <w:tcW w:type="dxa" w:w="6660"/>
          </w:tcPr>
          <w:p>
            <w:r>
              <w:t>Synthetic instructional data only</w:t>
            </w:r>
          </w:p>
        </w:tc>
      </w:tr>
    </w:tbl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4F6F9"/>
          </w:tcPr>
          <w:p>
            <w:r>
              <w:rPr>
                <w:b/>
                <w:color w:val="0B2545"/>
              </w:rPr>
              <w:t xml:space="preserve">Central decision: </w:t>
            </w:r>
            <w:r>
              <w:t>Interpret antimicrobial-resistance signals with laboratory quality, sampling context, clinical relevance, uncertainty, and stewardship authority.</w:t>
            </w:r>
          </w:p>
        </w:tc>
      </w:tr>
    </w:tbl>
    <w:p>
      <w:pPr>
        <w:pStyle w:val="Heading1"/>
      </w:pPr>
      <w:r>
        <w:t>Learning outcomes</w:t>
      </w:r>
    </w:p>
    <w:p>
      <w:pPr>
        <w:pStyle w:val="Heading1"/>
      </w:pPr>
      <w:r>
        <w:t>Why this matters</w:t>
      </w:r>
    </w:p>
    <w:p>
      <w:r>
        <w:t>Decontextualized resistance signals can cause panic, inappropriate prescribing changes, or false reassurance.</w:t>
      </w:r>
    </w:p>
    <w:p>
      <w:r>
        <w:t>The analytical workflow is useful only when evidence, uncertainty, authority, and action are connected explicitly. The model supports professional judgement; it does not replace accountable institutional authority.</w:t>
      </w:r>
    </w:p>
    <w:p>
      <w:pPr>
        <w:pStyle w:val="Heading1"/>
      </w:pPr>
      <w:r>
        <w:t>Worked cross-sector example</w:t>
      </w:r>
    </w:p>
    <w:p>
      <w:r>
        <w:t>A resistance increase is reviewed with specimen mix, testing coverage, facility context, and prescribing practice.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4F6F9"/>
          </w:tcPr>
          <w:p>
            <w:r>
              <w:rPr>
                <w:b/>
                <w:color w:val="0B2545"/>
              </w:rPr>
              <w:t xml:space="preserve">Boundary: </w:t>
            </w:r>
            <w:r>
              <w:t>The example supports learning and review. It does not constitute an official statistic, eligibility determination, enforcement action, clinical judgement, or operational authorization.</w:t>
            </w:r>
          </w:p>
        </w:tc>
      </w:tr>
    </w:tbl>
    <w:p>
      <w:pPr>
        <w:pStyle w:val="Heading1"/>
      </w:pPr>
      <w:r>
        <w:t>Practice and reflection</w:t>
      </w:r>
    </w:p>
    <w:p>
      <w:pPr>
        <w:pStyle w:val="ListBullet"/>
      </w:pPr>
      <w:r>
        <w:t>1.</w:t>
      </w:r>
    </w:p>
    <w:p>
      <w:pPr>
        <w:pStyle w:val="ListBullet"/>
      </w:pPr>
      <w:r>
        <w:t>Deduplicate isolates.</w:t>
      </w:r>
    </w:p>
    <w:p>
      <w:pPr>
        <w:pStyle w:val="ListBullet"/>
      </w:pPr>
      <w:r>
        <w:t>2.</w:t>
      </w:r>
    </w:p>
    <w:p>
      <w:pPr>
        <w:pStyle w:val="ListBullet"/>
      </w:pPr>
      <w:r>
        <w:t>Handle breakpoint changes.</w:t>
      </w:r>
    </w:p>
    <w:p>
      <w:pPr>
        <w:pStyle w:val="ListBullet"/>
      </w:pPr>
      <w:r>
        <w:t>3.</w:t>
      </w:r>
    </w:p>
    <w:p>
      <w:pPr>
        <w:pStyle w:val="ListBullet"/>
      </w:pPr>
      <w:r>
        <w:t>Explain why resistance rates are not prescribing rules.</w:t>
      </w:r>
    </w:p>
    <w:p>
      <w:pPr>
        <w:pStyle w:val="Heading1"/>
      </w:pPr>
      <w:r>
        <w:t>Answer key</w:t>
      </w:r>
    </w:p>
    <w:p>
      <w:pPr>
        <w:pStyle w:val="ListBullet"/>
      </w:pPr>
      <w:r>
        <w:t>1.</w:t>
      </w:r>
    </w:p>
    <w:p>
      <w:pPr>
        <w:pStyle w:val="ListBullet"/>
      </w:pPr>
      <w:r>
        <w:t>Use the agreed first-isolate-per-patient/episode/specimen rule.</w:t>
      </w:r>
    </w:p>
    <w:p>
      <w:pPr>
        <w:pStyle w:val="ListBullet"/>
      </w:pPr>
      <w:r>
        <w:t>2.</w:t>
      </w:r>
    </w:p>
    <w:p>
      <w:pPr>
        <w:pStyle w:val="ListBullet"/>
      </w:pPr>
      <w:r>
        <w:t>Reinterpret stored measurements where valid or stratify by breakpoint version; do not splice incomparable rates.</w:t>
      </w:r>
    </w:p>
    <w:p>
      <w:pPr>
        <w:pStyle w:val="ListBullet"/>
      </w:pPr>
      <w:r>
        <w:t>3.</w:t>
      </w:r>
    </w:p>
    <w:p>
      <w:pPr>
        <w:pStyle w:val="ListBullet"/>
      </w:pPr>
      <w:r>
        <w:t>Treatment also depends on syndrome, specimen, patient factors, severity, local guidance, toxicity, availability, and clinician judgment.</w:t>
      </w:r>
    </w:p>
    <w:p>
      <w:pPr>
        <w:pStyle w:val="Heading1"/>
      </w:pPr>
      <w:r>
        <w:t>Operational readiness checklist</w:t>
      </w:r>
    </w:p>
    <w:p>
      <w:pPr>
        <w:pStyle w:val="ListBullet"/>
      </w:pPr>
      <w:r>
        <w:t>Purpose and decision owner are named.</w:t>
      </w:r>
    </w:p>
    <w:p>
      <w:pPr>
        <w:pStyle w:val="ListBullet"/>
      </w:pPr>
      <w:r>
        <w:t>Evidence definitions, provenance, and lawful access are documented.</w:t>
      </w:r>
    </w:p>
    <w:p>
      <w:pPr>
        <w:pStyle w:val="ListBullet"/>
      </w:pPr>
      <w:r>
        <w:t>Uncertainty and abstention are visible.</w:t>
      </w:r>
    </w:p>
    <w:p>
      <w:pPr>
        <w:pStyle w:val="ListBullet"/>
      </w:pPr>
      <w:r>
        <w:t>Human review, escalation, monitoring, incident response, and retirement are assigned.</w:t>
      </w:r>
    </w:p>
    <w:p>
      <w:pPr>
        <w:pStyle w:val="ListBullet"/>
      </w:pPr>
      <w:r>
        <w:t>Equity, accessibility, security, and sector-specific approval are complete.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6"/>
      </w:rPr>
      <w:t xml:space="preserve">Controlled educational edition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B6573"/>
        <w:sz w:val="16"/>
      </w:rPr>
      <w:t>SRAI BOOK 7  |  V7_B_N07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