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Climate Signals Before Disease Surges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PU-B07-C28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Use climate signals for disease preparedness only when exposure, lag, surveillance quality, and causal limits are explicit.</w:t>
            </w:r>
          </w:p>
        </w:tc>
      </w:tr>
    </w:tbl>
    <w:p>
      <w:pPr>
        <w:pStyle w:val="Heading1"/>
      </w:pPr>
      <w:r>
        <w:t>Why it matters</w:t>
      </w:r>
    </w:p>
    <w:p>
      <w:r>
        <w:t>Climate association alone does not prove a disease surge or justify a specific intervention.</w:t>
      </w:r>
    </w:p>
    <w:p>
      <w:pPr>
        <w:pStyle w:val="Heading1"/>
      </w:pPr>
      <w:r>
        <w:t>Illustrative application</w:t>
      </w:r>
    </w:p>
    <w:p>
      <w:r>
        <w:t>Rainfall and temperature anomalies inform readiness after epidemiological and geographic corroboration.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V7_B_N08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