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Climate Signals Before Disease Surges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temperature.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Prevent temporal leakage.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causality limits.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Add dated exposures and nonlinear/lagged terms with domain justification.</w:t>
      </w:r>
    </w:p>
    <w:p>
      <w:pPr>
        <w:pStyle w:val="Heading2"/>
      </w:pPr>
      <w:r>
        <w:t>Solution 2</w:t>
      </w:r>
    </w:p>
    <w:p>
      <w:r>
        <w:t>Fit baselines and choose parameters only on prior data, then evaluate forward.</w:t>
      </w:r>
    </w:p>
    <w:p>
      <w:pPr>
        <w:pStyle w:val="Heading2"/>
      </w:pPr>
      <w:r>
        <w:t>Solution 3</w:t>
      </w:r>
    </w:p>
    <w:p>
      <w:r>
        <w:t>Shared seasonality, reporting, interventions, ecology, and confounding can create association; causal claims require stronger design and evidence.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V7_B_N08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