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EXECUTIVE BRIEF</w:t>
      </w:r>
    </w:p>
    <w:p>
      <w:pPr>
        <w:pStyle w:val="Title"/>
      </w:pPr>
      <w:r>
        <w:t>Nutrition Evidence With Dignity</w:t>
      </w:r>
    </w:p>
    <w:p>
      <w:pPr>
        <w:spacing w:after="280"/>
      </w:pPr>
      <w:r>
        <w:rPr>
          <w:color w:val="5B6573"/>
          <w:sz w:val="26"/>
        </w:rPr>
        <w:t>What leaders should authorize, require, and refuse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PU-B07-C29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Decision status</w:t>
            </w:r>
          </w:p>
        </w:tc>
        <w:tc>
          <w:tcPr>
            <w:tcW w:type="dxa" w:w="6660"/>
          </w:tcPr>
          <w:p>
            <w:r>
              <w:t>Controlled learning asset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6660"/>
          </w:tcPr>
          <w:p>
            <w:r>
              <w:t>Executives, programme owners, statisticians, technical leads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</w:t>
            </w:r>
          </w:p>
        </w:tc>
        <w:tc>
          <w:tcPr>
            <w:tcW w:type="dxa" w:w="6660"/>
          </w:tcPr>
          <w:p>
            <w:r>
              <w:t>Synthetic examples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Executive takeaway: </w:t>
            </w:r>
            <w:r>
              <w:t>Produce nutrition intelligence with valid measures, reference standards, uncertainty, privacy, dignity, and authorized care pathways.</w:t>
            </w:r>
          </w:p>
        </w:tc>
      </w:tr>
    </w:tbl>
    <w:p>
      <w:pPr>
        <w:pStyle w:val="Heading1"/>
      </w:pPr>
      <w:r>
        <w:t>Why it matters</w:t>
      </w:r>
    </w:p>
    <w:p>
      <w:r>
        <w:t>Poorly governed nutrition scoring can stigmatize people, expose sensitive information, or replace professional assessment.</w:t>
      </w:r>
    </w:p>
    <w:p>
      <w:pPr>
        <w:pStyle w:val="Heading1"/>
      </w:pPr>
      <w:r>
        <w:t>Illustrative application</w:t>
      </w:r>
    </w:p>
    <w:p>
      <w:r>
        <w:t>A nutrition signal supports confidential outreach and clinical assessment without labeling a child or household.</w:t>
      </w:r>
    </w:p>
    <w:p>
      <w:pPr>
        <w:pStyle w:val="Heading1"/>
      </w:pPr>
      <w:r>
        <w:t>Minimum approval conditions</w:t>
      </w:r>
    </w:p>
    <w:p>
      <w:pPr>
        <w:pStyle w:val="ListBullet"/>
      </w:pPr>
      <w:r>
        <w:t>Named accountable owner and lawful purpose</w:t>
      </w:r>
    </w:p>
    <w:p>
      <w:pPr>
        <w:pStyle w:val="ListBullet"/>
      </w:pPr>
      <w:r>
        <w:t>Defined evidence, provenance, reference period, population, and geography</w:t>
      </w:r>
    </w:p>
    <w:p>
      <w:pPr>
        <w:pStyle w:val="ListBullet"/>
      </w:pPr>
      <w:r>
        <w:t>Decision-relevant validation and visible uncertainty</w:t>
      </w:r>
    </w:p>
    <w:p>
      <w:pPr>
        <w:pStyle w:val="ListBullet"/>
      </w:pPr>
      <w:r>
        <w:t>Documented abstention, referral, override, and incident processes</w:t>
      </w:r>
    </w:p>
    <w:p>
      <w:pPr>
        <w:pStyle w:val="ListBullet"/>
      </w:pPr>
      <w:r>
        <w:t>Accessibility, equity, security, retention, and retirement review</w:t>
      </w:r>
    </w:p>
    <w:p>
      <w:pPr>
        <w:pStyle w:val="Heading1"/>
      </w:pPr>
      <w:r>
        <w:t>Non-negotiable boundary</w:t>
      </w:r>
    </w:p>
    <w:p>
      <w:r>
        <w:t>The analytical system may inform review. It may not independently authorize benefits, sanctions, enforcement, clinical treatment, school exclusion, displacement, or another consequential action.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V7_B_N09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