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Nutrition Evidence With Dignity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PU-B07-C29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V7_B_N09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Add survey weights.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Audit measurement quality.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Protect privacy.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r>
        <w:br w:type="page"/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Use design-weighted prevalence and design-consistent intervals.</w:t>
      </w:r>
    </w:p>
    <w:p>
      <w:pPr>
        <w:pStyle w:val="Heading2"/>
      </w:pPr>
      <w:r>
        <w:t>Solution 2</w:t>
      </w:r>
    </w:p>
    <w:p>
      <w:r>
        <w:t>Check training, calibration, digit preference, biological plausibility, missingness, and repeat measures.</w:t>
      </w:r>
    </w:p>
    <w:p>
      <w:pPr>
        <w:pStyle w:val="Heading2"/>
      </w:pPr>
      <w:r>
        <w:t>Solution 3</w:t>
      </w:r>
    </w:p>
    <w:p>
      <w:r>
        <w:t>Aggregate safely, minimize fields, control access, suppress small cells, and prohibit re-identification or punitive use.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V7_B_N09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