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Referrals That Do Not Lose the Patient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Design referral intelligence that preserves continuity, acknowledgement, urgency, capacity, handoff, closure, privacy, and clinical authority.</w:t>
            </w:r>
          </w:p>
        </w:tc>
      </w:tr>
    </w:tbl>
    <w:p>
      <w:pPr>
        <w:pStyle w:val="Heading1"/>
      </w:pPr>
      <w:r>
        <w:t>Why it matters</w:t>
      </w:r>
    </w:p>
    <w:p>
      <w:r>
        <w:t>A referral recorded as sent can still lose the patient when receipt, follow-up, and closure are not verified.</w:t>
      </w:r>
    </w:p>
    <w:p>
      <w:pPr>
        <w:pStyle w:val="Heading1"/>
      </w:pPr>
      <w:r>
        <w:t>Illustrative application</w:t>
      </w:r>
    </w:p>
    <w:p>
      <w:r>
        <w:t>An urgent referral remains open until the receiving service acknowledges capacity and records a governed outcome.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V7_B_N10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