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Referrals That Do Not Lose the Patient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V7_B_N10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Design referral intelligence that preserves continuity, acknowledgement, urgency, capacity, handoff, closure, privacy, and clinical authority.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 referral recorded as sent can still lose the patient when receipt, follow-up, and closure are not verified.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An urgent referral remains open until the receiving service acknowledges capacity and records a governed outcome.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network edges.</w:t>
      </w:r>
    </w:p>
    <w:p>
      <w:pPr>
        <w:pStyle w:val="ListBullet"/>
      </w:pPr>
      <w:r>
        <w:t>2.</w:t>
      </w:r>
    </w:p>
    <w:p>
      <w:pPr>
        <w:pStyle w:val="ListBullet"/>
      </w:pPr>
      <w:r>
        <w:t>Separate urgent cases.</w:t>
      </w:r>
    </w:p>
    <w:p>
      <w:pPr>
        <w:pStyle w:val="ListBullet"/>
      </w:pPr>
      <w:r>
        <w:t>3.</w:t>
      </w:r>
    </w:p>
    <w:p>
      <w:pPr>
        <w:pStyle w:val="ListBullet"/>
      </w:pPr>
      <w:r>
        <w:t>Protect privacy.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Build directed sending-receiving flows with counts, delays, capacity, and completion.</w:t>
      </w:r>
    </w:p>
    <w:p>
      <w:pPr>
        <w:pStyle w:val="ListBullet"/>
      </w:pPr>
      <w:r>
        <w:t>2.</w:t>
      </w:r>
    </w:p>
    <w:p>
      <w:pPr>
        <w:pStyle w:val="ListBullet"/>
      </w:pPr>
      <w:r>
        <w:t>Stratify by authorized urgency definition and case mix; never infer urgency from delay alone.</w:t>
      </w:r>
    </w:p>
    <w:p>
      <w:pPr>
        <w:pStyle w:val="ListBullet"/>
      </w:pPr>
      <w:r>
        <w:t>3.</w:t>
      </w:r>
    </w:p>
    <w:p>
      <w:pPr>
        <w:pStyle w:val="ListBullet"/>
      </w:pPr>
      <w:r>
        <w:t>Aggregate routes, minimize identifiers, control access, log use, and suppress small flows.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